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19" w:rsidRDefault="00133419">
      <w:pPr>
        <w:jc w:val="center"/>
        <w:rPr>
          <w:rFonts w:ascii="Calibri" w:hAnsi="Calibri" w:cs="Arial"/>
          <w:b/>
          <w:bCs/>
          <w:sz w:val="28"/>
        </w:rPr>
      </w:pPr>
      <w:bookmarkStart w:id="0" w:name="_GoBack"/>
      <w:bookmarkEnd w:id="0"/>
    </w:p>
    <w:p w:rsidR="00133419" w:rsidRPr="007015A7" w:rsidRDefault="00133419" w:rsidP="00133419">
      <w:pPr>
        <w:jc w:val="center"/>
        <w:rPr>
          <w:rFonts w:ascii="Calibri" w:hAnsi="Calibri" w:cs="Arial"/>
          <w:sz w:val="22"/>
          <w:szCs w:val="22"/>
        </w:rPr>
      </w:pPr>
      <w:r w:rsidRPr="007015A7">
        <w:rPr>
          <w:rFonts w:ascii="Calibri" w:hAnsi="Calibri" w:cs="Arial"/>
          <w:sz w:val="22"/>
          <w:szCs w:val="22"/>
        </w:rPr>
        <w:t xml:space="preserve">Les propositions de communication comprenant le résumé (400 mots maximum) doivent parvenir </w:t>
      </w:r>
    </w:p>
    <w:p w:rsidR="00133419" w:rsidRPr="007015A7" w:rsidRDefault="00133419" w:rsidP="00133419">
      <w:pPr>
        <w:jc w:val="center"/>
        <w:rPr>
          <w:rFonts w:ascii="Calibri" w:hAnsi="Calibri" w:cs="Arial"/>
          <w:sz w:val="22"/>
          <w:szCs w:val="22"/>
        </w:rPr>
      </w:pPr>
      <w:proofErr w:type="gramStart"/>
      <w:r w:rsidRPr="007015A7">
        <w:rPr>
          <w:rFonts w:ascii="Calibri" w:hAnsi="Calibri" w:cs="Arial"/>
          <w:b/>
          <w:bCs/>
          <w:sz w:val="22"/>
          <w:szCs w:val="22"/>
        </w:rPr>
        <w:t>par</w:t>
      </w:r>
      <w:proofErr w:type="gramEnd"/>
      <w:r w:rsidRPr="007015A7">
        <w:rPr>
          <w:rFonts w:ascii="Calibri" w:hAnsi="Calibri" w:cs="Arial"/>
          <w:b/>
          <w:bCs/>
          <w:sz w:val="22"/>
          <w:szCs w:val="22"/>
        </w:rPr>
        <w:t xml:space="preserve"> courrier électronique à</w:t>
      </w:r>
    </w:p>
    <w:p w:rsidR="00133419" w:rsidRPr="007015A7" w:rsidRDefault="00133419" w:rsidP="00133419">
      <w:pPr>
        <w:jc w:val="center"/>
        <w:rPr>
          <w:rFonts w:ascii="Calibri" w:hAnsi="Calibri" w:cs="Arial"/>
          <w:b/>
          <w:bCs/>
          <w:sz w:val="22"/>
          <w:szCs w:val="22"/>
        </w:rPr>
      </w:pPr>
      <w:hyperlink r:id="rId8" w:history="1">
        <w:r w:rsidRPr="007015A7">
          <w:rPr>
            <w:rStyle w:val="Lienhypertexte"/>
            <w:rFonts w:ascii="Calibri" w:hAnsi="Calibri" w:cs="Arial"/>
            <w:b/>
            <w:sz w:val="22"/>
            <w:szCs w:val="22"/>
          </w:rPr>
          <w:t>socpatex@pasteur.fr</w:t>
        </w:r>
      </w:hyperlink>
      <w:r w:rsidRPr="007015A7">
        <w:rPr>
          <w:rFonts w:ascii="Calibri" w:hAnsi="Calibri" w:cs="Arial"/>
          <w:b/>
          <w:sz w:val="22"/>
          <w:szCs w:val="22"/>
        </w:rPr>
        <w:t xml:space="preserve"> </w:t>
      </w:r>
      <w:r w:rsidRPr="007015A7">
        <w:rPr>
          <w:rFonts w:ascii="Calibri" w:hAnsi="Calibri" w:cs="Arial"/>
          <w:b/>
          <w:bCs/>
          <w:sz w:val="22"/>
          <w:szCs w:val="22"/>
        </w:rPr>
        <w:t>avant le 4 septembre 2013</w:t>
      </w:r>
    </w:p>
    <w:p w:rsidR="00133419" w:rsidRPr="00F72B5E" w:rsidRDefault="00133419">
      <w:pPr>
        <w:jc w:val="center"/>
        <w:rPr>
          <w:rFonts w:ascii="Calibri" w:hAnsi="Calibri" w:cs="Arial"/>
          <w:b/>
          <w:bCs/>
          <w:sz w:val="28"/>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1"/>
      </w:tblGrid>
      <w:tr w:rsidR="00133419" w:rsidRPr="00F72B5E">
        <w:tblPrEx>
          <w:tblCellMar>
            <w:top w:w="0" w:type="dxa"/>
            <w:bottom w:w="0" w:type="dxa"/>
          </w:tblCellMar>
        </w:tblPrEx>
        <w:trPr>
          <w:trHeight w:val="1186"/>
        </w:trPr>
        <w:tc>
          <w:tcPr>
            <w:tcW w:w="9091" w:type="dxa"/>
          </w:tcPr>
          <w:p w:rsidR="00133419" w:rsidRDefault="00133419" w:rsidP="00133419">
            <w:pPr>
              <w:jc w:val="both"/>
              <w:rPr>
                <w:rFonts w:ascii="Calibri" w:hAnsi="Calibri" w:cs="Arial"/>
                <w:b/>
                <w:bCs/>
                <w:color w:val="800000"/>
              </w:rPr>
            </w:pPr>
            <w:r w:rsidRPr="00F72B5E">
              <w:rPr>
                <w:rFonts w:ascii="Calibri" w:hAnsi="Calibri" w:cs="Arial"/>
                <w:b/>
                <w:bCs/>
                <w:color w:val="800000"/>
              </w:rPr>
              <w:t>Titre de la communication :</w:t>
            </w:r>
          </w:p>
          <w:p w:rsidR="002148D7" w:rsidRDefault="002148D7" w:rsidP="002148D7">
            <w:pPr>
              <w:jc w:val="center"/>
              <w:rPr>
                <w:rFonts w:ascii="Cambria" w:eastAsia="Cambria" w:hAnsi="Cambria" w:cs="Cambria"/>
                <w:b/>
              </w:rPr>
            </w:pPr>
            <w:r>
              <w:rPr>
                <w:rFonts w:ascii="Cambria" w:eastAsia="Cambria" w:hAnsi="Cambria" w:cs="Cambria"/>
                <w:b/>
              </w:rPr>
              <w:t xml:space="preserve">L'infection à </w:t>
            </w:r>
            <w:proofErr w:type="spellStart"/>
            <w:r>
              <w:rPr>
                <w:rFonts w:ascii="Cambria" w:eastAsia="Cambria" w:hAnsi="Cambria" w:cs="Cambria"/>
                <w:b/>
                <w:i/>
              </w:rPr>
              <w:t>Tropheryma</w:t>
            </w:r>
            <w:proofErr w:type="spellEnd"/>
            <w:r>
              <w:rPr>
                <w:rFonts w:ascii="Cambria" w:eastAsia="Cambria" w:hAnsi="Cambria" w:cs="Cambria"/>
                <w:b/>
              </w:rPr>
              <w:t xml:space="preserve"> </w:t>
            </w:r>
            <w:proofErr w:type="spellStart"/>
            <w:r>
              <w:rPr>
                <w:rFonts w:ascii="Cambria" w:eastAsia="Cambria" w:hAnsi="Cambria" w:cs="Cambria"/>
                <w:b/>
                <w:i/>
              </w:rPr>
              <w:t>whipplei</w:t>
            </w:r>
            <w:proofErr w:type="spellEnd"/>
            <w:r>
              <w:rPr>
                <w:rFonts w:ascii="Cambria" w:eastAsia="Cambria" w:hAnsi="Cambria" w:cs="Cambria"/>
                <w:b/>
              </w:rPr>
              <w:t xml:space="preserve"> au Sénégal.</w:t>
            </w:r>
          </w:p>
          <w:p w:rsidR="00E56822" w:rsidRPr="00E56822" w:rsidRDefault="00E56822" w:rsidP="00E56822">
            <w:pPr>
              <w:rPr>
                <w:rFonts w:ascii="Calibri" w:hAnsi="Calibri"/>
                <w:b/>
              </w:rPr>
            </w:pPr>
          </w:p>
        </w:tc>
      </w:tr>
      <w:tr w:rsidR="00133419" w:rsidRPr="00F72B5E">
        <w:tblPrEx>
          <w:tblCellMar>
            <w:top w:w="0" w:type="dxa"/>
            <w:bottom w:w="0" w:type="dxa"/>
          </w:tblCellMar>
        </w:tblPrEx>
        <w:trPr>
          <w:trHeight w:val="523"/>
        </w:trPr>
        <w:tc>
          <w:tcPr>
            <w:tcW w:w="9091" w:type="dxa"/>
          </w:tcPr>
          <w:p w:rsidR="002148D7" w:rsidRPr="005B63AC" w:rsidRDefault="00133419" w:rsidP="002148D7">
            <w:pPr>
              <w:jc w:val="both"/>
            </w:pPr>
            <w:r w:rsidRPr="007015A7">
              <w:rPr>
                <w:rFonts w:ascii="Calibri" w:hAnsi="Calibri" w:cs="Arial"/>
                <w:b/>
                <w:bCs/>
                <w:color w:val="800000"/>
              </w:rPr>
              <w:t xml:space="preserve">Mots clefs (5 maximum) : </w:t>
            </w:r>
            <w:proofErr w:type="spellStart"/>
            <w:r w:rsidR="002148D7">
              <w:rPr>
                <w:i/>
              </w:rPr>
              <w:t>Tropheryma</w:t>
            </w:r>
            <w:proofErr w:type="spellEnd"/>
            <w:r w:rsidR="002148D7">
              <w:rPr>
                <w:i/>
              </w:rPr>
              <w:t xml:space="preserve"> </w:t>
            </w:r>
            <w:proofErr w:type="spellStart"/>
            <w:r w:rsidR="002148D7">
              <w:rPr>
                <w:i/>
              </w:rPr>
              <w:t>whipplei</w:t>
            </w:r>
            <w:proofErr w:type="spellEnd"/>
            <w:r w:rsidR="002148D7">
              <w:t xml:space="preserve">, bactériémie, maladie de </w:t>
            </w:r>
            <w:proofErr w:type="spellStart"/>
            <w:r w:rsidR="002148D7">
              <w:t>whipple</w:t>
            </w:r>
            <w:proofErr w:type="spellEnd"/>
            <w:r w:rsidR="002148D7">
              <w:t>, Sénégal</w:t>
            </w:r>
          </w:p>
          <w:p w:rsidR="00133419" w:rsidRPr="00E56822" w:rsidRDefault="00133419" w:rsidP="00133419">
            <w:pPr>
              <w:widowControl w:val="0"/>
              <w:autoSpaceDE w:val="0"/>
              <w:autoSpaceDN w:val="0"/>
              <w:adjustRightInd w:val="0"/>
              <w:spacing w:before="35"/>
              <w:ind w:right="250"/>
              <w:jc w:val="both"/>
              <w:rPr>
                <w:rFonts w:ascii="Calibri" w:hAnsi="Calibri" w:cs="Arial"/>
                <w:b/>
                <w:bCs/>
                <w:color w:val="800000"/>
              </w:rPr>
            </w:pPr>
          </w:p>
        </w:tc>
      </w:tr>
      <w:tr w:rsidR="00133419" w:rsidRPr="00F72B5E">
        <w:tblPrEx>
          <w:tblCellMar>
            <w:top w:w="0" w:type="dxa"/>
            <w:bottom w:w="0" w:type="dxa"/>
          </w:tblCellMar>
        </w:tblPrEx>
        <w:trPr>
          <w:trHeight w:val="941"/>
        </w:trPr>
        <w:tc>
          <w:tcPr>
            <w:tcW w:w="9091" w:type="dxa"/>
          </w:tcPr>
          <w:p w:rsidR="00133419" w:rsidRPr="00F72B5E" w:rsidRDefault="00133419" w:rsidP="00133419">
            <w:pPr>
              <w:jc w:val="both"/>
              <w:rPr>
                <w:rFonts w:ascii="Calibri" w:hAnsi="Calibri" w:cs="Arial"/>
                <w:b/>
                <w:bCs/>
                <w:color w:val="800000"/>
              </w:rPr>
            </w:pPr>
            <w:r w:rsidRPr="00F72B5E">
              <w:rPr>
                <w:rFonts w:ascii="Calibri" w:hAnsi="Calibri" w:cs="Arial"/>
                <w:b/>
                <w:bCs/>
                <w:color w:val="800000"/>
              </w:rPr>
              <w:t>Proposée en (cocher la case) :</w:t>
            </w:r>
          </w:p>
          <w:p w:rsidR="00133419" w:rsidRPr="00F72B5E" w:rsidRDefault="00133419" w:rsidP="00133419">
            <w:pPr>
              <w:ind w:left="3600"/>
              <w:jc w:val="both"/>
              <w:rPr>
                <w:rFonts w:ascii="Calibri" w:hAnsi="Calibri" w:cs="Arial"/>
              </w:rPr>
            </w:pPr>
            <w:r>
              <w:rPr>
                <w:rFonts w:ascii="Calibri" w:hAnsi="Calibri" w:cs="Arial"/>
              </w:rPr>
              <w:sym w:font="Wingdings" w:char="F0A6"/>
            </w:r>
            <w:r>
              <w:rPr>
                <w:rFonts w:ascii="Calibri" w:hAnsi="Calibri" w:cs="Arial"/>
              </w:rPr>
              <w:t xml:space="preserve"> </w:t>
            </w:r>
            <w:r w:rsidRPr="00F72B5E">
              <w:rPr>
                <w:rFonts w:ascii="Calibri" w:hAnsi="Calibri" w:cs="Arial"/>
              </w:rPr>
              <w:t>Communication orale</w:t>
            </w:r>
          </w:p>
          <w:p w:rsidR="00133419" w:rsidRDefault="00C7134C" w:rsidP="00133419">
            <w:pPr>
              <w:ind w:left="3600"/>
              <w:jc w:val="both"/>
              <w:rPr>
                <w:rFonts w:ascii="Calibri" w:hAnsi="Calibri" w:cs="Arial"/>
              </w:rPr>
            </w:pPr>
            <w:r>
              <w:rPr>
                <w:rFonts w:ascii="Calibri" w:hAnsi="Calibri" w:cs="Arial"/>
              </w:rPr>
              <w:sym w:font="Wingdings" w:char="F0B5"/>
            </w:r>
            <w:r w:rsidR="00133419">
              <w:rPr>
                <w:rFonts w:ascii="Calibri" w:hAnsi="Calibri" w:cs="Arial"/>
              </w:rPr>
              <w:t xml:space="preserve"> </w:t>
            </w:r>
            <w:r w:rsidR="00133419" w:rsidRPr="00F72B5E">
              <w:rPr>
                <w:rFonts w:ascii="Calibri" w:hAnsi="Calibri" w:cs="Arial"/>
              </w:rPr>
              <w:t>Communication affichée</w:t>
            </w:r>
          </w:p>
          <w:p w:rsidR="00133419" w:rsidRPr="00F72B5E" w:rsidRDefault="00133419" w:rsidP="00133419">
            <w:pPr>
              <w:jc w:val="both"/>
              <w:rPr>
                <w:rFonts w:ascii="Calibri" w:hAnsi="Calibri" w:cs="Arial"/>
              </w:rPr>
            </w:pPr>
          </w:p>
        </w:tc>
      </w:tr>
      <w:tr w:rsidR="00133419" w:rsidRPr="00F72B5E">
        <w:tblPrEx>
          <w:tblCellMar>
            <w:top w:w="0" w:type="dxa"/>
            <w:bottom w:w="0" w:type="dxa"/>
          </w:tblCellMar>
        </w:tblPrEx>
        <w:trPr>
          <w:trHeight w:val="941"/>
        </w:trPr>
        <w:tc>
          <w:tcPr>
            <w:tcW w:w="9091" w:type="dxa"/>
          </w:tcPr>
          <w:p w:rsidR="00133419" w:rsidRDefault="00133419" w:rsidP="00133419">
            <w:pPr>
              <w:jc w:val="both"/>
              <w:rPr>
                <w:rFonts w:ascii="Calibri" w:hAnsi="Calibri" w:cs="Arial"/>
                <w:b/>
                <w:bCs/>
                <w:color w:val="800000"/>
              </w:rPr>
            </w:pPr>
            <w:r>
              <w:rPr>
                <w:rFonts w:ascii="Calibri" w:hAnsi="Calibri" w:cs="Arial"/>
                <w:b/>
                <w:bCs/>
                <w:color w:val="800000"/>
              </w:rPr>
              <w:t>Communication proposée dans la session </w:t>
            </w:r>
            <w:r w:rsidRPr="00F72B5E">
              <w:rPr>
                <w:rFonts w:ascii="Calibri" w:hAnsi="Calibri" w:cs="Arial"/>
                <w:b/>
                <w:bCs/>
                <w:color w:val="800000"/>
              </w:rPr>
              <w:t>(cocher la case) :</w:t>
            </w:r>
          </w:p>
          <w:p w:rsidR="00133419" w:rsidRDefault="00133419" w:rsidP="00133419">
            <w:pPr>
              <w:ind w:left="1800"/>
              <w:jc w:val="both"/>
              <w:rPr>
                <w:rFonts w:ascii="Calibri" w:hAnsi="Calibri"/>
              </w:rPr>
            </w:pPr>
            <w:r>
              <w:rPr>
                <w:rFonts w:ascii="Calibri" w:hAnsi="Calibri" w:cs="Arial"/>
              </w:rPr>
              <w:sym w:font="Wingdings" w:char="F0A6"/>
            </w:r>
            <w:r>
              <w:rPr>
                <w:rFonts w:ascii="Calibri" w:hAnsi="Calibri" w:cs="Arial"/>
              </w:rPr>
              <w:t xml:space="preserve"> </w:t>
            </w:r>
            <w:r w:rsidRPr="00F72B5E">
              <w:rPr>
                <w:rFonts w:ascii="Calibri" w:hAnsi="Calibri"/>
              </w:rPr>
              <w:t>Paludisme et autres maladies parasitaires</w:t>
            </w:r>
          </w:p>
          <w:p w:rsidR="00133419" w:rsidRDefault="00E56822" w:rsidP="00133419">
            <w:pPr>
              <w:ind w:left="1800"/>
              <w:rPr>
                <w:rFonts w:ascii="Calibri" w:hAnsi="Calibri"/>
              </w:rPr>
            </w:pPr>
            <w:r>
              <w:rPr>
                <w:rFonts w:ascii="Calibri" w:hAnsi="Calibri" w:cs="Arial"/>
              </w:rPr>
              <w:sym w:font="Wingdings" w:char="F0B5"/>
            </w:r>
            <w:r w:rsidR="00133419">
              <w:rPr>
                <w:rFonts w:ascii="Calibri" w:hAnsi="Calibri" w:cs="Arial"/>
              </w:rPr>
              <w:t xml:space="preserve"> </w:t>
            </w:r>
            <w:r w:rsidR="00133419">
              <w:rPr>
                <w:rFonts w:ascii="Calibri" w:hAnsi="Calibri"/>
              </w:rPr>
              <w:t>Fièvres émergentes - m</w:t>
            </w:r>
            <w:r w:rsidR="00133419" w:rsidRPr="00F72B5E">
              <w:rPr>
                <w:rFonts w:ascii="Calibri" w:hAnsi="Calibri"/>
              </w:rPr>
              <w:t>aladies infectieuses tropicales négligées</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sidRPr="00F72B5E">
              <w:rPr>
                <w:rFonts w:ascii="Calibri" w:hAnsi="Calibri"/>
              </w:rPr>
              <w:t>Maladies nutritionnelles et diabète</w:t>
            </w:r>
          </w:p>
          <w:p w:rsidR="00133419" w:rsidRPr="00F72B5E"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sidRPr="00F72B5E">
              <w:rPr>
                <w:rFonts w:ascii="Calibri" w:hAnsi="Calibri"/>
              </w:rPr>
              <w:t>Maladies cardiovasculaires et complications</w:t>
            </w:r>
          </w:p>
          <w:p w:rsidR="00133419" w:rsidRDefault="00133419" w:rsidP="00133419">
            <w:pPr>
              <w:ind w:left="1800"/>
              <w:jc w:val="both"/>
              <w:rPr>
                <w:rFonts w:ascii="Calibri" w:hAnsi="Calibri" w:cs="Arial"/>
                <w:color w:val="000000"/>
              </w:rPr>
            </w:pPr>
            <w:r>
              <w:rPr>
                <w:rFonts w:ascii="Calibri" w:hAnsi="Calibri" w:cs="Arial"/>
              </w:rPr>
              <w:sym w:font="Wingdings" w:char="F0A6"/>
            </w:r>
            <w:r>
              <w:rPr>
                <w:rFonts w:ascii="Calibri" w:hAnsi="Calibri" w:cs="Arial"/>
              </w:rPr>
              <w:t xml:space="preserve"> </w:t>
            </w:r>
            <w:r w:rsidRPr="00F72B5E">
              <w:rPr>
                <w:rFonts w:ascii="Calibri" w:hAnsi="Calibri" w:cs="Arial"/>
                <w:color w:val="000000"/>
              </w:rPr>
              <w:t>Epilepsies</w:t>
            </w:r>
          </w:p>
          <w:p w:rsidR="00133419" w:rsidRDefault="00133419" w:rsidP="00133419">
            <w:pPr>
              <w:ind w:left="1800"/>
              <w:jc w:val="both"/>
              <w:rPr>
                <w:rFonts w:ascii="Calibri" w:hAnsi="Calibri" w:cs="Arial"/>
                <w:color w:val="000000"/>
              </w:rPr>
            </w:pPr>
            <w:r>
              <w:rPr>
                <w:rFonts w:ascii="Calibri" w:hAnsi="Calibri" w:cs="Arial"/>
              </w:rPr>
              <w:sym w:font="Wingdings" w:char="F0A6"/>
            </w:r>
            <w:r>
              <w:rPr>
                <w:rFonts w:ascii="Calibri" w:hAnsi="Calibri" w:cs="Arial"/>
              </w:rPr>
              <w:t xml:space="preserve"> </w:t>
            </w:r>
            <w:r>
              <w:rPr>
                <w:rFonts w:ascii="Calibri" w:hAnsi="Calibri" w:cs="Arial"/>
                <w:color w:val="000000"/>
              </w:rPr>
              <w:t>Mycoses</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A</w:t>
            </w:r>
            <w:r w:rsidRPr="00F72B5E">
              <w:rPr>
                <w:rFonts w:ascii="Calibri" w:hAnsi="Calibri"/>
              </w:rPr>
              <w:t>ccès aux soins</w:t>
            </w:r>
            <w:r>
              <w:rPr>
                <w:rFonts w:ascii="Calibri" w:hAnsi="Calibri"/>
              </w:rPr>
              <w:t xml:space="preserve"> - </w:t>
            </w:r>
            <w:r w:rsidRPr="00F72B5E">
              <w:rPr>
                <w:rFonts w:ascii="Calibri" w:hAnsi="Calibri"/>
              </w:rPr>
              <w:t>Prise en charge VIH et sida</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F</w:t>
            </w:r>
            <w:r w:rsidRPr="007015A7">
              <w:rPr>
                <w:rFonts w:ascii="Calibri" w:hAnsi="Calibri"/>
              </w:rPr>
              <w:t>inancement de la santé</w:t>
            </w:r>
            <w:r>
              <w:rPr>
                <w:rFonts w:ascii="Calibri" w:hAnsi="Calibri"/>
              </w:rPr>
              <w:t xml:space="preserve"> - R</w:t>
            </w:r>
            <w:r w:rsidRPr="007015A7">
              <w:rPr>
                <w:rFonts w:ascii="Calibri" w:hAnsi="Calibri"/>
              </w:rPr>
              <w:t>essources humaines</w:t>
            </w:r>
          </w:p>
          <w:p w:rsidR="00133419" w:rsidRPr="00F72B5E"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Anthropologie de la santé</w:t>
            </w:r>
          </w:p>
        </w:tc>
      </w:tr>
      <w:tr w:rsidR="00133419" w:rsidRPr="00F72B5E">
        <w:tblPrEx>
          <w:tblCellMar>
            <w:top w:w="0" w:type="dxa"/>
            <w:bottom w:w="0" w:type="dxa"/>
          </w:tblCellMar>
        </w:tblPrEx>
        <w:trPr>
          <w:trHeight w:val="612"/>
        </w:trPr>
        <w:tc>
          <w:tcPr>
            <w:tcW w:w="9091" w:type="dxa"/>
          </w:tcPr>
          <w:p w:rsidR="002148D7" w:rsidRDefault="00133419" w:rsidP="002148D7">
            <w:r w:rsidRPr="00F72B5E">
              <w:rPr>
                <w:rFonts w:ascii="Calibri" w:hAnsi="Calibri"/>
                <w:b/>
                <w:bCs/>
                <w:color w:val="800000"/>
              </w:rPr>
              <w:t xml:space="preserve">Auteurs (noms/prénoms) : </w:t>
            </w:r>
            <w:r w:rsidR="002148D7">
              <w:t xml:space="preserve">Hubert </w:t>
            </w:r>
            <w:proofErr w:type="spellStart"/>
            <w:r w:rsidR="002148D7">
              <w:t>Bassene</w:t>
            </w:r>
            <w:proofErr w:type="spellEnd"/>
            <w:r w:rsidR="002148D7">
              <w:t xml:space="preserve">, Alpha </w:t>
            </w:r>
            <w:proofErr w:type="spellStart"/>
            <w:r w:rsidR="002148D7">
              <w:t>Kabinet</w:t>
            </w:r>
            <w:proofErr w:type="spellEnd"/>
            <w:r w:rsidR="002148D7">
              <w:t xml:space="preserve"> Keita, Oleg </w:t>
            </w:r>
            <w:proofErr w:type="spellStart"/>
            <w:r w:rsidR="002148D7">
              <w:t>Mediannikov</w:t>
            </w:r>
            <w:proofErr w:type="spellEnd"/>
            <w:r w:rsidR="002148D7">
              <w:t xml:space="preserve">, Pavel </w:t>
            </w:r>
            <w:proofErr w:type="spellStart"/>
            <w:r w:rsidR="002148D7">
              <w:t>Ratmanov</w:t>
            </w:r>
            <w:proofErr w:type="spellEnd"/>
            <w:r w:rsidR="002148D7">
              <w:t xml:space="preserve">, Georges </w:t>
            </w:r>
            <w:proofErr w:type="spellStart"/>
            <w:r w:rsidR="002148D7">
              <w:t>Diatta</w:t>
            </w:r>
            <w:proofErr w:type="spellEnd"/>
            <w:r w:rsidR="002148D7">
              <w:t xml:space="preserve">, Clémentine </w:t>
            </w:r>
            <w:proofErr w:type="spellStart"/>
            <w:r w:rsidR="002148D7">
              <w:t>Roucher</w:t>
            </w:r>
            <w:proofErr w:type="spellEnd"/>
            <w:r w:rsidR="002148D7">
              <w:t xml:space="preserve">, </w:t>
            </w:r>
            <w:proofErr w:type="spellStart"/>
            <w:r w:rsidR="002148D7">
              <w:t>Adama</w:t>
            </w:r>
            <w:proofErr w:type="spellEnd"/>
            <w:r w:rsidR="002148D7">
              <w:t xml:space="preserve"> </w:t>
            </w:r>
            <w:proofErr w:type="spellStart"/>
            <w:r w:rsidR="002148D7">
              <w:t>Tall</w:t>
            </w:r>
            <w:proofErr w:type="spellEnd"/>
            <w:r w:rsidR="002148D7">
              <w:t xml:space="preserve">, Cheikh </w:t>
            </w:r>
            <w:proofErr w:type="spellStart"/>
            <w:r w:rsidR="002148D7">
              <w:t>Sokhna</w:t>
            </w:r>
            <w:proofErr w:type="spellEnd"/>
            <w:r w:rsidR="002148D7">
              <w:t xml:space="preserve">, Jean-François </w:t>
            </w:r>
            <w:proofErr w:type="spellStart"/>
            <w:r w:rsidR="002148D7">
              <w:t>Trape</w:t>
            </w:r>
            <w:proofErr w:type="spellEnd"/>
            <w:r w:rsidR="002148D7">
              <w:t xml:space="preserve">, Didier Raoult and Florence </w:t>
            </w:r>
            <w:proofErr w:type="spellStart"/>
            <w:r w:rsidR="002148D7">
              <w:t>Fenollar</w:t>
            </w:r>
            <w:proofErr w:type="spellEnd"/>
          </w:p>
          <w:p w:rsidR="00133419" w:rsidRPr="009A235A" w:rsidRDefault="00133419">
            <w:pPr>
              <w:jc w:val="both"/>
              <w:rPr>
                <w:rFonts w:ascii="Calibri" w:hAnsi="Calibri" w:cs="Arial"/>
                <w:b/>
                <w:bCs/>
                <w:color w:val="800000"/>
              </w:rPr>
            </w:pPr>
          </w:p>
        </w:tc>
      </w:tr>
      <w:tr w:rsidR="00133419" w:rsidRPr="00F72B5E">
        <w:tblPrEx>
          <w:tblCellMar>
            <w:top w:w="0" w:type="dxa"/>
            <w:bottom w:w="0" w:type="dxa"/>
          </w:tblCellMar>
        </w:tblPrEx>
        <w:trPr>
          <w:trHeight w:val="989"/>
        </w:trPr>
        <w:tc>
          <w:tcPr>
            <w:tcW w:w="9091" w:type="dxa"/>
          </w:tcPr>
          <w:p w:rsidR="00133419" w:rsidRPr="009A235A" w:rsidRDefault="00133419">
            <w:pPr>
              <w:jc w:val="both"/>
              <w:rPr>
                <w:rFonts w:ascii="Calibri" w:hAnsi="Calibri" w:cs="Arial"/>
                <w:b/>
                <w:bCs/>
                <w:color w:val="800000"/>
              </w:rPr>
            </w:pPr>
            <w:r w:rsidRPr="00F72B5E">
              <w:rPr>
                <w:rFonts w:ascii="Calibri" w:hAnsi="Calibri" w:cs="Arial"/>
                <w:b/>
                <w:bCs/>
                <w:color w:val="800000"/>
              </w:rPr>
              <w:t>Adresse de correspondance de l’auteur responsable (et affiliation) :</w:t>
            </w:r>
          </w:p>
          <w:p w:rsidR="002148D7" w:rsidRDefault="002148D7" w:rsidP="002148D7">
            <w:pPr>
              <w:jc w:val="both"/>
            </w:pPr>
            <w:r>
              <w:rPr>
                <w:shd w:val="clear" w:color="auto" w:fill="FFFFFF"/>
              </w:rPr>
              <w:t xml:space="preserve">Aix Marseille Université, </w:t>
            </w:r>
            <w:r>
              <w:t>Unité des Rickettsies, Unité de Recherche sur les Maladies Infectieuses et Tropicales Emergentes (</w:t>
            </w:r>
            <w:r>
              <w:rPr>
                <w:shd w:val="clear" w:color="auto" w:fill="FFFFFF"/>
              </w:rPr>
              <w:t>URMITE), UM63, CNRS 7278, IRD 198, INSERM 1095, 13005 Marseille, France and Campus commun UCAD-IRD d'</w:t>
            </w:r>
            <w:proofErr w:type="spellStart"/>
            <w:r>
              <w:rPr>
                <w:shd w:val="clear" w:color="auto" w:fill="FFFFFF"/>
              </w:rPr>
              <w:t>Hann</w:t>
            </w:r>
            <w:proofErr w:type="spellEnd"/>
            <w:r>
              <w:rPr>
                <w:shd w:val="clear" w:color="auto" w:fill="FFFFFF"/>
              </w:rPr>
              <w:t>, Dakar, Sénégal.</w:t>
            </w:r>
          </w:p>
          <w:p w:rsidR="00133419" w:rsidRPr="00F72B5E" w:rsidRDefault="00133419" w:rsidP="00133419">
            <w:pPr>
              <w:ind w:left="777"/>
              <w:rPr>
                <w:rFonts w:ascii="Calibri" w:hAnsi="Calibri" w:cs="Arial"/>
              </w:rPr>
            </w:pPr>
          </w:p>
        </w:tc>
      </w:tr>
      <w:tr w:rsidR="00133419" w:rsidRPr="00F72B5E">
        <w:tblPrEx>
          <w:tblCellMar>
            <w:top w:w="0" w:type="dxa"/>
            <w:bottom w:w="0" w:type="dxa"/>
          </w:tblCellMar>
        </w:tblPrEx>
        <w:trPr>
          <w:trHeight w:val="1613"/>
        </w:trPr>
        <w:tc>
          <w:tcPr>
            <w:tcW w:w="9091" w:type="dxa"/>
          </w:tcPr>
          <w:p w:rsidR="00133419" w:rsidRPr="00947344" w:rsidRDefault="00133419" w:rsidP="00133419">
            <w:pPr>
              <w:jc w:val="both"/>
              <w:rPr>
                <w:rFonts w:ascii="Calibri" w:hAnsi="Calibri" w:cs="Arial"/>
                <w:b/>
                <w:bCs/>
                <w:color w:val="800000"/>
              </w:rPr>
            </w:pPr>
            <w:r w:rsidRPr="00947344">
              <w:rPr>
                <w:rFonts w:ascii="Calibri" w:hAnsi="Calibri" w:cs="Arial"/>
                <w:b/>
                <w:bCs/>
                <w:color w:val="800000"/>
              </w:rPr>
              <w:lastRenderedPageBreak/>
              <w:t xml:space="preserve">Adresse électronique :   </w:t>
            </w:r>
          </w:p>
          <w:p w:rsidR="002148D7" w:rsidRDefault="002148D7" w:rsidP="00133419">
            <w:pPr>
              <w:jc w:val="both"/>
            </w:pPr>
            <w:hyperlink r:id="rId9">
              <w:r w:rsidRPr="002148D7">
                <w:rPr>
                  <w:color w:val="000000"/>
                  <w:u w:val="single"/>
                </w:rPr>
                <w:t>florence.fenollar@univ-amu.fr</w:t>
              </w:r>
            </w:hyperlink>
          </w:p>
          <w:p w:rsidR="00133419" w:rsidRDefault="00133419" w:rsidP="00133419">
            <w:pPr>
              <w:jc w:val="both"/>
              <w:rPr>
                <w:rFonts w:ascii="Calibri" w:hAnsi="Calibri" w:cs="Arial"/>
                <w:b/>
                <w:bCs/>
                <w:color w:val="800000"/>
              </w:rPr>
            </w:pPr>
            <w:r w:rsidRPr="00947344">
              <w:rPr>
                <w:rFonts w:ascii="Calibri" w:hAnsi="Calibri" w:cs="Arial"/>
                <w:b/>
                <w:bCs/>
                <w:color w:val="800000"/>
              </w:rPr>
              <w:t>Téléphone :</w:t>
            </w:r>
          </w:p>
          <w:p w:rsidR="00E56822" w:rsidRPr="00C7134C" w:rsidRDefault="00C7134C" w:rsidP="00133419">
            <w:pPr>
              <w:jc w:val="both"/>
            </w:pPr>
            <w:r w:rsidRPr="00C7134C">
              <w:rPr>
                <w:b/>
                <w:lang w:val="en-US"/>
              </w:rPr>
              <w:t>00 221 33 849 35 84</w:t>
            </w:r>
          </w:p>
        </w:tc>
      </w:tr>
      <w:tr w:rsidR="00133419" w:rsidRPr="00F72B5E">
        <w:tblPrEx>
          <w:tblCellMar>
            <w:top w:w="0" w:type="dxa"/>
            <w:bottom w:w="0" w:type="dxa"/>
          </w:tblCellMar>
        </w:tblPrEx>
        <w:trPr>
          <w:trHeight w:val="10087"/>
        </w:trPr>
        <w:tc>
          <w:tcPr>
            <w:tcW w:w="9091" w:type="dxa"/>
          </w:tcPr>
          <w:p w:rsidR="00535705" w:rsidRPr="005E3E29" w:rsidRDefault="00535705" w:rsidP="00535705">
            <w:pPr>
              <w:jc w:val="both"/>
            </w:pPr>
            <w:r w:rsidRPr="005E3E29">
              <w:rPr>
                <w:b/>
              </w:rPr>
              <w:lastRenderedPageBreak/>
              <w:t>Introduction</w:t>
            </w:r>
          </w:p>
          <w:p w:rsidR="00535705" w:rsidRPr="00AC6B6A" w:rsidRDefault="00535705" w:rsidP="00535705">
            <w:pPr>
              <w:jc w:val="both"/>
            </w:pPr>
            <w:r w:rsidRPr="00AC6B6A">
              <w:t xml:space="preserve">La maladie de Whipple </w:t>
            </w:r>
            <w:r>
              <w:t>(</w:t>
            </w:r>
            <w:proofErr w:type="spellStart"/>
            <w:r w:rsidRPr="00AC6B6A">
              <w:rPr>
                <w:i/>
              </w:rPr>
              <w:t>Tropheryma</w:t>
            </w:r>
            <w:proofErr w:type="spellEnd"/>
            <w:r w:rsidRPr="00AC6B6A">
              <w:rPr>
                <w:i/>
              </w:rPr>
              <w:t xml:space="preserve"> </w:t>
            </w:r>
            <w:proofErr w:type="spellStart"/>
            <w:r w:rsidRPr="00AC6B6A">
              <w:rPr>
                <w:i/>
              </w:rPr>
              <w:t>whipplei</w:t>
            </w:r>
            <w:proofErr w:type="spellEnd"/>
            <w:r>
              <w:t xml:space="preserve">) </w:t>
            </w:r>
            <w:r w:rsidRPr="00AC6B6A">
              <w:t xml:space="preserve">a longtemps été considérée comme rare et atteignant principalement les hommes d’une cinquantaine d’année de race blanche. Des études récentes ont montrée que la bactérie est très fréquente en Afrique subsaharienne avec une prévalence </w:t>
            </w:r>
            <w:r>
              <w:t>de 75% dans les selles d’</w:t>
            </w:r>
            <w:r w:rsidRPr="00AC6B6A">
              <w:t xml:space="preserve">enfants </w:t>
            </w:r>
            <w:r>
              <w:t>&lt;</w:t>
            </w:r>
            <w:r w:rsidRPr="00AC6B6A">
              <w:t>5 ans</w:t>
            </w:r>
            <w:r>
              <w:t xml:space="preserve"> et</w:t>
            </w:r>
            <w:r w:rsidRPr="00AC6B6A">
              <w:t xml:space="preserve"> que </w:t>
            </w:r>
            <w:r w:rsidRPr="00AC6B6A">
              <w:rPr>
                <w:i/>
              </w:rPr>
              <w:t xml:space="preserve">T. </w:t>
            </w:r>
            <w:proofErr w:type="spellStart"/>
            <w:r w:rsidRPr="00AC6B6A">
              <w:rPr>
                <w:i/>
              </w:rPr>
              <w:t>whipplei</w:t>
            </w:r>
            <w:proofErr w:type="spellEnd"/>
            <w:r w:rsidRPr="00AC6B6A">
              <w:t xml:space="preserve"> pouvait être à l’origine de fièvres chez les malades consultant au dispensaire. L’examen de salive, de lait maternel, d’eau de canaris, de puits et de rivière a aussi montré la présence de la bactérie dans la salive. Le but de cette étude était d’identifier le réservoir naturel, le mode de transmission et les différents facteurs de risque.</w:t>
            </w:r>
          </w:p>
          <w:p w:rsidR="00535705" w:rsidRDefault="00535705" w:rsidP="00535705">
            <w:pPr>
              <w:jc w:val="both"/>
              <w:rPr>
                <w:b/>
              </w:rPr>
            </w:pPr>
          </w:p>
          <w:p w:rsidR="00535705" w:rsidRDefault="00535705" w:rsidP="00535705">
            <w:pPr>
              <w:jc w:val="both"/>
              <w:rPr>
                <w:b/>
              </w:rPr>
            </w:pPr>
            <w:r>
              <w:rPr>
                <w:b/>
              </w:rPr>
              <w:t>Matériel et méthodes</w:t>
            </w:r>
          </w:p>
          <w:p w:rsidR="00535705" w:rsidRDefault="00535705" w:rsidP="00535705">
            <w:pPr>
              <w:jc w:val="both"/>
            </w:pPr>
            <w:r>
              <w:t xml:space="preserve">De juin 2010 à mars 2012, cinq sites ont été surveillés dans </w:t>
            </w:r>
            <w:proofErr w:type="gramStart"/>
            <w:r>
              <w:t>le cadre du programme d’identification de pathogènes émergents</w:t>
            </w:r>
            <w:proofErr w:type="gramEnd"/>
            <w:r>
              <w:t xml:space="preserve">. </w:t>
            </w:r>
            <w:r w:rsidRPr="00AC6B6A">
              <w:t xml:space="preserve">Le sang capillaire des malades fébriles consultant dans les postes de santé a été analysé par </w:t>
            </w:r>
            <w:r>
              <w:t>PCR</w:t>
            </w:r>
            <w:r w:rsidRPr="00AC6B6A">
              <w:t>.</w:t>
            </w:r>
            <w:r>
              <w:t xml:space="preserve"> Parallèlement une enquête épidémiologique a été menée dans le site de </w:t>
            </w:r>
            <w:proofErr w:type="spellStart"/>
            <w:r>
              <w:t>Dielmo</w:t>
            </w:r>
            <w:proofErr w:type="spellEnd"/>
            <w:r>
              <w:t xml:space="preserve"> et </w:t>
            </w:r>
            <w:proofErr w:type="spellStart"/>
            <w:r>
              <w:t>Ndiop</w:t>
            </w:r>
            <w:proofErr w:type="spellEnd"/>
            <w:r>
              <w:t xml:space="preserve"> pour comparer des concessions à forte prévalence (5) de</w:t>
            </w:r>
            <w:r w:rsidRPr="008C49F6">
              <w:rPr>
                <w:i/>
              </w:rPr>
              <w:t xml:space="preserve"> </w:t>
            </w:r>
            <w:r>
              <w:rPr>
                <w:i/>
              </w:rPr>
              <w:t xml:space="preserve">T. </w:t>
            </w:r>
            <w:proofErr w:type="spellStart"/>
            <w:r>
              <w:rPr>
                <w:i/>
              </w:rPr>
              <w:t>whipplei</w:t>
            </w:r>
            <w:proofErr w:type="spellEnd"/>
            <w:r>
              <w:rPr>
                <w:i/>
              </w:rPr>
              <w:t xml:space="preserve"> </w:t>
            </w:r>
            <w:r w:rsidRPr="008C49F6">
              <w:t>à d’autres où elle est nulle</w:t>
            </w:r>
            <w:r>
              <w:t xml:space="preserve"> (3) afin d’identifier les facteurs de risques. La présence de </w:t>
            </w:r>
            <w:r w:rsidRPr="00962ABD">
              <w:rPr>
                <w:i/>
              </w:rPr>
              <w:t xml:space="preserve">T. </w:t>
            </w:r>
            <w:proofErr w:type="spellStart"/>
            <w:r w:rsidRPr="00962ABD">
              <w:rPr>
                <w:i/>
              </w:rPr>
              <w:t>whipplei</w:t>
            </w:r>
            <w:proofErr w:type="spellEnd"/>
            <w:r>
              <w:t xml:space="preserve"> a aussi été recherchée dans des prélèvements environnementaux à </w:t>
            </w:r>
            <w:proofErr w:type="spellStart"/>
            <w:r>
              <w:t>Dielmo</w:t>
            </w:r>
            <w:proofErr w:type="spellEnd"/>
            <w:r>
              <w:t xml:space="preserve"> (poussières des concessions, crottes d’animaux domestiques, arthropodes vecteurs).</w:t>
            </w:r>
          </w:p>
          <w:p w:rsidR="00535705" w:rsidRPr="007827DF" w:rsidRDefault="00535705" w:rsidP="00535705">
            <w:pPr>
              <w:jc w:val="both"/>
              <w:rPr>
                <w:sz w:val="16"/>
                <w:szCs w:val="16"/>
              </w:rPr>
            </w:pPr>
          </w:p>
          <w:p w:rsidR="00535705" w:rsidRDefault="00535705" w:rsidP="00535705">
            <w:pPr>
              <w:jc w:val="both"/>
            </w:pPr>
            <w:r>
              <w:rPr>
                <w:b/>
              </w:rPr>
              <w:t>Résultats</w:t>
            </w:r>
          </w:p>
          <w:p w:rsidR="00535705" w:rsidRDefault="00535705" w:rsidP="00535705">
            <w:pPr>
              <w:jc w:val="both"/>
            </w:pPr>
            <w:r>
              <w:t xml:space="preserve">La bactériémie à </w:t>
            </w:r>
            <w:r w:rsidRPr="001928C2">
              <w:rPr>
                <w:i/>
              </w:rPr>
              <w:t xml:space="preserve">T. </w:t>
            </w:r>
            <w:proofErr w:type="spellStart"/>
            <w:r w:rsidRPr="001928C2">
              <w:rPr>
                <w:i/>
              </w:rPr>
              <w:t>whipplei</w:t>
            </w:r>
            <w:proofErr w:type="spellEnd"/>
            <w:r>
              <w:t xml:space="preserve"> reste encore rare (2,8% d’épisodes fébriles). Mais à </w:t>
            </w:r>
            <w:proofErr w:type="spellStart"/>
            <w:r>
              <w:t>Dielmo</w:t>
            </w:r>
            <w:proofErr w:type="spellEnd"/>
            <w:r>
              <w:t xml:space="preserve"> et </w:t>
            </w:r>
            <w:proofErr w:type="spellStart"/>
            <w:r>
              <w:t>Ndiop</w:t>
            </w:r>
            <w:proofErr w:type="spellEnd"/>
            <w:r>
              <w:t xml:space="preserve">, elle est plus élevée, 4,5% et 4,9% respectivement. En plus, en Août 2010 nous avons pu enregistrer un pic de l’infection à </w:t>
            </w:r>
            <w:r w:rsidRPr="00661E8D">
              <w:rPr>
                <w:i/>
                <w:iCs/>
              </w:rPr>
              <w:t xml:space="preserve">T. </w:t>
            </w:r>
            <w:proofErr w:type="spellStart"/>
            <w:r w:rsidRPr="00661E8D">
              <w:rPr>
                <w:i/>
                <w:iCs/>
              </w:rPr>
              <w:t>whipplei</w:t>
            </w:r>
            <w:proofErr w:type="spellEnd"/>
            <w:r w:rsidRPr="00661E8D">
              <w:rPr>
                <w:i/>
                <w:iCs/>
              </w:rPr>
              <w:t xml:space="preserve"> </w:t>
            </w:r>
            <w:r>
              <w:t xml:space="preserve">à </w:t>
            </w:r>
            <w:proofErr w:type="spellStart"/>
            <w:r>
              <w:t>Dielmo</w:t>
            </w:r>
            <w:proofErr w:type="spellEnd"/>
            <w:r>
              <w:t xml:space="preserve"> avec 26 cas de bactériémies causées par cette bactérie (68% des cas recensé en une année). En comparant les 5 concessions de forte prévalence à </w:t>
            </w:r>
            <w:r>
              <w:rPr>
                <w:i/>
              </w:rPr>
              <w:t xml:space="preserve">T. </w:t>
            </w:r>
            <w:proofErr w:type="spellStart"/>
            <w:r>
              <w:rPr>
                <w:i/>
              </w:rPr>
              <w:t>whipplei</w:t>
            </w:r>
            <w:proofErr w:type="spellEnd"/>
            <w:r>
              <w:t xml:space="preserve"> et les 3 concessions négatives à </w:t>
            </w:r>
            <w:proofErr w:type="spellStart"/>
            <w:r>
              <w:t>Dielmo</w:t>
            </w:r>
            <w:proofErr w:type="spellEnd"/>
            <w:r>
              <w:t xml:space="preserve">, la seule différence notée est </w:t>
            </w:r>
            <w:r w:rsidRPr="007827DF">
              <w:t xml:space="preserve">la présence de toilettes (1/5 vs 3/3 ; P=0,01423). Sur l’ensemble des échantillons environnementaux collectés à </w:t>
            </w:r>
            <w:proofErr w:type="spellStart"/>
            <w:r w:rsidRPr="007827DF">
              <w:t>Dielmo</w:t>
            </w:r>
            <w:proofErr w:type="spellEnd"/>
            <w:r w:rsidRPr="007827DF">
              <w:t xml:space="preserve"> et </w:t>
            </w:r>
            <w:proofErr w:type="spellStart"/>
            <w:r w:rsidRPr="007827DF">
              <w:t>Ndiop</w:t>
            </w:r>
            <w:proofErr w:type="spellEnd"/>
            <w:r w:rsidRPr="007827DF">
              <w:t xml:space="preserve"> (1002) seuls 4 sont très légèrement positifs.</w:t>
            </w:r>
          </w:p>
          <w:p w:rsidR="00535705" w:rsidRPr="007827DF" w:rsidRDefault="00535705" w:rsidP="00535705">
            <w:pPr>
              <w:rPr>
                <w:sz w:val="16"/>
                <w:szCs w:val="16"/>
              </w:rPr>
            </w:pPr>
          </w:p>
          <w:p w:rsidR="00535705" w:rsidRDefault="00535705" w:rsidP="00535705">
            <w:pPr>
              <w:jc w:val="both"/>
            </w:pPr>
            <w:r>
              <w:rPr>
                <w:b/>
              </w:rPr>
              <w:t>Conclusion</w:t>
            </w:r>
          </w:p>
          <w:p w:rsidR="00535705" w:rsidRDefault="00535705" w:rsidP="00535705">
            <w:pPr>
              <w:jc w:val="both"/>
            </w:pPr>
            <w:r>
              <w:rPr>
                <w:i/>
              </w:rPr>
              <w:t xml:space="preserve">T. </w:t>
            </w:r>
            <w:proofErr w:type="spellStart"/>
            <w:r>
              <w:rPr>
                <w:i/>
              </w:rPr>
              <w:t>whipplei</w:t>
            </w:r>
            <w:proofErr w:type="spellEnd"/>
            <w:r>
              <w:t xml:space="preserve"> joue un rôle dans les maladies fébriles au Sénégal. Le diagnostic est disponible qu’au niveau du POC de </w:t>
            </w:r>
            <w:proofErr w:type="spellStart"/>
            <w:r>
              <w:t>Dielmo</w:t>
            </w:r>
            <w:proofErr w:type="spellEnd"/>
            <w:r>
              <w:t xml:space="preserve">. Le seul facteur fortement associé à la circulation de </w:t>
            </w:r>
            <w:r>
              <w:rPr>
                <w:i/>
              </w:rPr>
              <w:t xml:space="preserve">T. </w:t>
            </w:r>
            <w:proofErr w:type="spellStart"/>
            <w:r>
              <w:rPr>
                <w:i/>
              </w:rPr>
              <w:t>whipplei</w:t>
            </w:r>
            <w:proofErr w:type="spellEnd"/>
            <w:r>
              <w:t xml:space="preserve"> est l’absence de toilette dans les concessions où la prévalence est élevée. Actuellement, l’homme est le principal réservoir et source de </w:t>
            </w:r>
            <w:r w:rsidRPr="007827DF">
              <w:rPr>
                <w:i/>
              </w:rPr>
              <w:t xml:space="preserve">T. </w:t>
            </w:r>
            <w:proofErr w:type="spellStart"/>
            <w:r w:rsidRPr="007827DF">
              <w:rPr>
                <w:i/>
              </w:rPr>
              <w:t>whipplei</w:t>
            </w:r>
            <w:proofErr w:type="spellEnd"/>
            <w:r>
              <w:t xml:space="preserve"> identifiés dans ces populations. La transmission de </w:t>
            </w:r>
            <w:r w:rsidRPr="005E3E29">
              <w:rPr>
                <w:i/>
              </w:rPr>
              <w:t xml:space="preserve">T. </w:t>
            </w:r>
            <w:proofErr w:type="spellStart"/>
            <w:r w:rsidRPr="005E3E29">
              <w:rPr>
                <w:i/>
              </w:rPr>
              <w:t>whipplei</w:t>
            </w:r>
            <w:proofErr w:type="spellEnd"/>
            <w:r>
              <w:t xml:space="preserve"> est donc vraisemblablement interhumaine, soit par voie </w:t>
            </w:r>
            <w:proofErr w:type="spellStart"/>
            <w:r>
              <w:t>oro</w:t>
            </w:r>
            <w:proofErr w:type="spellEnd"/>
            <w:r>
              <w:t xml:space="preserve">-fécale ou voie </w:t>
            </w:r>
            <w:proofErr w:type="spellStart"/>
            <w:r>
              <w:t>oro</w:t>
            </w:r>
            <w:proofErr w:type="spellEnd"/>
            <w:r>
              <w:t>-orale en fonction des conditions d’hygiène.</w:t>
            </w:r>
          </w:p>
          <w:p w:rsidR="00133419" w:rsidRPr="00E56822" w:rsidRDefault="00133419" w:rsidP="00E56822">
            <w:pPr>
              <w:jc w:val="both"/>
              <w:rPr>
                <w:rFonts w:ascii="Calibri" w:hAnsi="Calibri" w:cs="Arial"/>
              </w:rPr>
            </w:pPr>
          </w:p>
        </w:tc>
      </w:tr>
    </w:tbl>
    <w:p w:rsidR="00133419" w:rsidRPr="00F72B5E" w:rsidRDefault="00133419" w:rsidP="00133419">
      <w:pPr>
        <w:rPr>
          <w:rFonts w:ascii="Calibri" w:hAnsi="Calibri"/>
        </w:rPr>
      </w:pPr>
    </w:p>
    <w:sectPr w:rsidR="00133419" w:rsidRPr="00F72B5E">
      <w:headerReference w:type="default" r:id="rId10"/>
      <w:footerReference w:type="default" r:id="rId11"/>
      <w:pgSz w:w="11906" w:h="16838"/>
      <w:pgMar w:top="540" w:right="1417" w:bottom="54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DA" w:rsidRDefault="00E522DA" w:rsidP="00133419">
      <w:r>
        <w:separator/>
      </w:r>
    </w:p>
  </w:endnote>
  <w:endnote w:type="continuationSeparator" w:id="0">
    <w:p w:rsidR="00E522DA" w:rsidRDefault="00E522DA" w:rsidP="0013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19" w:rsidRDefault="00133419">
    <w:pPr>
      <w:pStyle w:val="Pieddepage"/>
    </w:pPr>
  </w:p>
  <w:p w:rsidR="00133419" w:rsidRDefault="0013341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DA" w:rsidRDefault="00E522DA" w:rsidP="00133419">
      <w:r>
        <w:separator/>
      </w:r>
    </w:p>
  </w:footnote>
  <w:footnote w:type="continuationSeparator" w:id="0">
    <w:p w:rsidR="00E522DA" w:rsidRDefault="00E522DA" w:rsidP="001334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19" w:rsidRDefault="00133419" w:rsidP="00133419">
    <w:pPr>
      <w:pStyle w:val="Titre"/>
      <w:rPr>
        <w:sz w:val="36"/>
      </w:rPr>
    </w:pPr>
    <w:r>
      <w:rPr>
        <w:sz w:val="36"/>
      </w:rPr>
      <w:t>9</w:t>
    </w:r>
    <w:r w:rsidRPr="009543CA">
      <w:rPr>
        <w:sz w:val="36"/>
        <w:vertAlign w:val="superscript"/>
      </w:rPr>
      <w:t>ème</w:t>
    </w:r>
    <w:r>
      <w:rPr>
        <w:sz w:val="36"/>
      </w:rPr>
      <w:t xml:space="preserve"> Congrès International Francophone de la Société de Pathologie Exotique, en partenariat avec la Société Médicale d’Afrique Noire de Langue Française</w:t>
    </w:r>
  </w:p>
  <w:p w:rsidR="00133419" w:rsidRDefault="00133419" w:rsidP="00133419">
    <w:pPr>
      <w:pStyle w:val="Titre"/>
      <w:rPr>
        <w:sz w:val="36"/>
      </w:rPr>
    </w:pPr>
    <w:r>
      <w:rPr>
        <w:sz w:val="36"/>
      </w:rPr>
      <w:t>Dakar, 12-14 novembre 2013</w:t>
    </w:r>
  </w:p>
  <w:p w:rsidR="00133419" w:rsidRPr="00634EF7" w:rsidRDefault="00133419" w:rsidP="00133419">
    <w:pPr>
      <w:pStyle w:val="Sous-titre"/>
      <w:jc w:val="center"/>
      <w:rPr>
        <w:smallCaps/>
        <w:color w:val="800000"/>
        <w:sz w:val="28"/>
      </w:rPr>
    </w:pPr>
    <w:r w:rsidRPr="00634EF7">
      <w:rPr>
        <w:smallCaps/>
        <w:color w:val="800000"/>
        <w:sz w:val="28"/>
      </w:rPr>
      <w:t>Proposition de communication</w:t>
    </w:r>
  </w:p>
  <w:p w:rsidR="00133419" w:rsidRDefault="00133419" w:rsidP="00133419">
    <w:pPr>
      <w:pStyle w:val="En-tte"/>
    </w:pPr>
  </w:p>
  <w:p w:rsidR="00133419" w:rsidRDefault="00133419" w:rsidP="00133419">
    <w:pPr>
      <w:pStyle w:val="En-tte"/>
      <w:rPr>
        <w:rFonts w:ascii="Verdana" w:hAnsi="Verdana"/>
        <w:sz w:val="20"/>
        <w:szCs w:val="20"/>
      </w:rPr>
    </w:pPr>
    <w:r>
      <w:t>Les résumés seront soumis de préférence en ligne sur le site de la conférence.</w:t>
    </w:r>
    <w:r>
      <w:rPr>
        <w:rFonts w:ascii="Verdana" w:hAnsi="Verdana"/>
        <w:sz w:val="20"/>
        <w:szCs w:val="20"/>
      </w:rPr>
      <w:br/>
    </w:r>
    <w:r>
      <w:rPr>
        <w:rFonts w:ascii="Verdana" w:hAnsi="Verdana"/>
        <w:sz w:val="20"/>
        <w:szCs w:val="20"/>
      </w:rPr>
      <w:fldChar w:fldCharType="begin"/>
    </w:r>
    <w:r>
      <w:rPr>
        <w:rFonts w:ascii="Verdana" w:hAnsi="Verdana"/>
        <w:sz w:val="20"/>
        <w:szCs w:val="20"/>
      </w:rPr>
      <w:instrText xml:space="preserve"> </w:instrText>
    </w:r>
    <w:r w:rsidR="00C15CD6">
      <w:rPr>
        <w:rFonts w:ascii="Verdana" w:hAnsi="Verdana"/>
        <w:sz w:val="20"/>
        <w:szCs w:val="20"/>
      </w:rPr>
      <w:instrText>HYPERLINK</w:instrText>
    </w:r>
    <w:r>
      <w:rPr>
        <w:rFonts w:ascii="Verdana" w:hAnsi="Verdana"/>
        <w:sz w:val="20"/>
        <w:szCs w:val="20"/>
      </w:rPr>
      <w:instrText xml:space="preserve"> "http://spe-smanlf-2013.sciencesconf.org/" \o "Dkr soumission resume" \t "_blank" </w:instrText>
    </w:r>
    <w:r w:rsidRPr="009A235A">
      <w:rPr>
        <w:rFonts w:ascii="Verdana" w:hAnsi="Verdana"/>
        <w:sz w:val="20"/>
        <w:szCs w:val="20"/>
      </w:rPr>
    </w:r>
    <w:r>
      <w:rPr>
        <w:rFonts w:ascii="Verdana" w:hAnsi="Verdana"/>
        <w:sz w:val="20"/>
        <w:szCs w:val="20"/>
      </w:rPr>
      <w:fldChar w:fldCharType="separate"/>
    </w:r>
    <w:r>
      <w:rPr>
        <w:rStyle w:val="Lienhypertexte"/>
        <w:rFonts w:ascii="Verdana" w:hAnsi="Verdana"/>
        <w:color w:val="0B36A2"/>
        <w:sz w:val="20"/>
        <w:szCs w:val="20"/>
      </w:rPr>
      <w:t>http://spe-smanlf-2013.sciencesconf.org</w:t>
    </w:r>
    <w:r>
      <w:rPr>
        <w:rFonts w:ascii="Verdana" w:hAnsi="Verdana"/>
        <w:sz w:val="20"/>
        <w:szCs w:val="20"/>
      </w:rPr>
      <w:fldChar w:fldCharType="end"/>
    </w:r>
  </w:p>
  <w:p w:rsidR="00133419" w:rsidRPr="00BB7967" w:rsidRDefault="00133419" w:rsidP="00133419">
    <w:pPr>
      <w:pStyle w:val="En-tte"/>
    </w:pPr>
    <w:r>
      <w:rPr>
        <w:rFonts w:ascii="Verdana" w:hAnsi="Verdana"/>
        <w:sz w:val="20"/>
        <w:szCs w:val="20"/>
      </w:rPr>
      <w:t>Il est nécessaire de s’inscrire sur le site dédié à la conférence (indiquer un identifiant : votre email par exemple et un mot de passe). En cas de perte, ce mot de passe vous sera renvoyé par email.</w:t>
    </w:r>
  </w:p>
  <w:p w:rsidR="00133419" w:rsidRPr="009A235A" w:rsidRDefault="00133419" w:rsidP="0013341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CAF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BF235E"/>
    <w:multiLevelType w:val="hybridMultilevel"/>
    <w:tmpl w:val="0192A0EE"/>
    <w:lvl w:ilvl="0" w:tplc="CDD638E0">
      <w:numFmt w:val="bullet"/>
      <w:lvlText w:val="-"/>
      <w:lvlJc w:val="left"/>
      <w:pPr>
        <w:tabs>
          <w:tab w:val="num" w:pos="780"/>
        </w:tabs>
        <w:ind w:left="78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00775CF"/>
    <w:multiLevelType w:val="hybridMultilevel"/>
    <w:tmpl w:val="F76A65F4"/>
    <w:lvl w:ilvl="0" w:tplc="84203DD2">
      <w:start w:val="5"/>
      <w:numFmt w:val="bullet"/>
      <w:lvlText w:val=""/>
      <w:lvlJc w:val="left"/>
      <w:pPr>
        <w:tabs>
          <w:tab w:val="num" w:pos="720"/>
        </w:tabs>
        <w:ind w:left="720" w:hanging="360"/>
      </w:pPr>
      <w:rPr>
        <w:rFonts w:ascii="Symbol" w:eastAsia="Times New Roman" w:hAnsi="Symbol" w:cs="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A6001FE"/>
    <w:multiLevelType w:val="hybridMultilevel"/>
    <w:tmpl w:val="525E408E"/>
    <w:lvl w:ilvl="0" w:tplc="1D327ED0">
      <w:start w:val="5"/>
      <w:numFmt w:val="bullet"/>
      <w:lvlText w:val=""/>
      <w:lvlJc w:val="left"/>
      <w:pPr>
        <w:tabs>
          <w:tab w:val="num" w:pos="720"/>
        </w:tabs>
        <w:ind w:left="720" w:hanging="360"/>
      </w:pPr>
      <w:rPr>
        <w:rFonts w:ascii="Symbol" w:eastAsia="Times New Roman" w:hAnsi="Symbol" w:cs="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DA"/>
    <w:rsid w:val="00133419"/>
    <w:rsid w:val="002148D7"/>
    <w:rsid w:val="00535705"/>
    <w:rsid w:val="009439ED"/>
    <w:rsid w:val="00C15CD6"/>
    <w:rsid w:val="00C36F6B"/>
    <w:rsid w:val="00C7134C"/>
    <w:rsid w:val="00E522DA"/>
    <w:rsid w:val="00E56822"/>
    <w:rsid w:val="00EE2E7F"/>
  </w:rsids>
  <m:mathPr>
    <m:mathFont m:val="Cambria Math"/>
    <m:brkBin m:val="before"/>
    <m:brkBinSub m:val="--"/>
    <m:smallFrac m:val="0"/>
    <m:dispDef m:val="0"/>
    <m:lMargin m:val="0"/>
    <m:rMargin m:val="0"/>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qFormat/>
    <w:pPr>
      <w:keepNext/>
      <w:framePr w:hSpace="141" w:wrap="notBeside" w:vAnchor="text" w:hAnchor="margin" w:y="-90"/>
      <w:outlineLvl w:val="0"/>
    </w:pPr>
    <w:rPr>
      <w:rFonts w:ascii="Arial" w:hAnsi="Arial" w:cs="Arial"/>
      <w:sz w:val="44"/>
    </w:rPr>
  </w:style>
  <w:style w:type="paragraph" w:styleId="Titre2">
    <w:name w:val="heading 2"/>
    <w:basedOn w:val="Normal"/>
    <w:next w:val="Normal"/>
    <w:qFormat/>
    <w:pPr>
      <w:keepNext/>
      <w:jc w:val="center"/>
      <w:outlineLvl w:val="1"/>
    </w:pPr>
    <w:rPr>
      <w:rFonts w:ascii="Arial" w:hAnsi="Arial" w:cs="Arial"/>
      <w:b/>
      <w:bCs/>
      <w:sz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 w:type="paragraph" w:styleId="Corpsdetexte">
    <w:name w:val="Body Text"/>
    <w:basedOn w:val="Normal"/>
    <w:semiHidden/>
    <w:pPr>
      <w:jc w:val="both"/>
    </w:pPr>
    <w:rPr>
      <w:rFonts w:ascii="Arial" w:hAnsi="Arial" w:cs="Arial"/>
      <w:sz w:val="20"/>
    </w:rPr>
  </w:style>
  <w:style w:type="paragraph" w:styleId="Corpsdetexte2">
    <w:name w:val="Body Text 2"/>
    <w:basedOn w:val="Normal"/>
    <w:semiHidden/>
    <w:pPr>
      <w:jc w:val="both"/>
    </w:pPr>
    <w:rPr>
      <w:rFonts w:ascii="Arial" w:hAnsi="Arial" w:cs="Arial"/>
      <w:b/>
      <w:bCs/>
    </w:rPr>
  </w:style>
  <w:style w:type="paragraph" w:styleId="Corpsdetexte3">
    <w:name w:val="Body Text 3"/>
    <w:basedOn w:val="Normal"/>
    <w:semiHidden/>
    <w:pPr>
      <w:jc w:val="both"/>
    </w:pPr>
    <w:rPr>
      <w:rFonts w:ascii="Arial" w:hAnsi="Arial" w:cs="Arial"/>
    </w:rPr>
  </w:style>
  <w:style w:type="paragraph" w:styleId="En-tte">
    <w:name w:val="header"/>
    <w:basedOn w:val="Normal"/>
    <w:link w:val="En-tteCar"/>
    <w:uiPriority w:val="99"/>
    <w:unhideWhenUsed/>
    <w:rsid w:val="00086C5A"/>
    <w:pPr>
      <w:tabs>
        <w:tab w:val="center" w:pos="4536"/>
        <w:tab w:val="right" w:pos="9072"/>
      </w:tabs>
    </w:pPr>
  </w:style>
  <w:style w:type="character" w:customStyle="1" w:styleId="En-tteCar">
    <w:name w:val="En-tête Car"/>
    <w:basedOn w:val="Policepardfaut"/>
    <w:link w:val="En-tte"/>
    <w:uiPriority w:val="99"/>
    <w:rsid w:val="00086C5A"/>
    <w:rPr>
      <w:sz w:val="24"/>
      <w:szCs w:val="24"/>
    </w:rPr>
  </w:style>
  <w:style w:type="paragraph" w:styleId="Pieddepage">
    <w:name w:val="footer"/>
    <w:basedOn w:val="Normal"/>
    <w:link w:val="PieddepageCar"/>
    <w:uiPriority w:val="99"/>
    <w:unhideWhenUsed/>
    <w:rsid w:val="00086C5A"/>
    <w:pPr>
      <w:tabs>
        <w:tab w:val="center" w:pos="4536"/>
        <w:tab w:val="right" w:pos="9072"/>
      </w:tabs>
    </w:pPr>
  </w:style>
  <w:style w:type="character" w:customStyle="1" w:styleId="PieddepageCar">
    <w:name w:val="Pied de page Car"/>
    <w:basedOn w:val="Policepardfaut"/>
    <w:link w:val="Pieddepage"/>
    <w:uiPriority w:val="99"/>
    <w:rsid w:val="00086C5A"/>
    <w:rPr>
      <w:sz w:val="24"/>
      <w:szCs w:val="24"/>
    </w:rPr>
  </w:style>
  <w:style w:type="paragraph" w:styleId="Textedebulles">
    <w:name w:val="Balloon Text"/>
    <w:basedOn w:val="Normal"/>
    <w:link w:val="TextedebullesCar"/>
    <w:uiPriority w:val="99"/>
    <w:semiHidden/>
    <w:unhideWhenUsed/>
    <w:rsid w:val="00086C5A"/>
    <w:rPr>
      <w:rFonts w:ascii="Tahoma" w:hAnsi="Tahoma" w:cs="Tahoma"/>
      <w:sz w:val="16"/>
      <w:szCs w:val="16"/>
    </w:rPr>
  </w:style>
  <w:style w:type="character" w:customStyle="1" w:styleId="TextedebullesCar">
    <w:name w:val="Texte de bulles Car"/>
    <w:basedOn w:val="Policepardfaut"/>
    <w:link w:val="Textedebulles"/>
    <w:uiPriority w:val="99"/>
    <w:semiHidden/>
    <w:rsid w:val="00086C5A"/>
    <w:rPr>
      <w:rFonts w:ascii="Tahoma" w:hAnsi="Tahoma" w:cs="Tahoma"/>
      <w:sz w:val="16"/>
      <w:szCs w:val="16"/>
    </w:rPr>
  </w:style>
  <w:style w:type="paragraph" w:styleId="Titre">
    <w:name w:val="Title"/>
    <w:basedOn w:val="Normal"/>
    <w:qFormat/>
    <w:rsid w:val="00BB7967"/>
    <w:pPr>
      <w:jc w:val="center"/>
    </w:pPr>
    <w:rPr>
      <w:b/>
      <w:bCs/>
      <w:sz w:val="32"/>
    </w:rPr>
  </w:style>
  <w:style w:type="paragraph" w:styleId="Sous-titre">
    <w:name w:val="Subtitle"/>
    <w:basedOn w:val="Normal"/>
    <w:qFormat/>
    <w:rsid w:val="00BB7967"/>
    <w:pPr>
      <w:jc w:val="right"/>
    </w:pPr>
    <w:rPr>
      <w:b/>
      <w:bCs/>
    </w:rPr>
  </w:style>
  <w:style w:type="character" w:customStyle="1" w:styleId="hps">
    <w:name w:val="hps"/>
    <w:basedOn w:val="Policepardfaut"/>
    <w:rsid w:val="00E56822"/>
  </w:style>
  <w:style w:type="character" w:customStyle="1" w:styleId="atn">
    <w:name w:val="atn"/>
    <w:basedOn w:val="Policepardfaut"/>
    <w:rsid w:val="00E568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qFormat/>
    <w:pPr>
      <w:keepNext/>
      <w:framePr w:hSpace="141" w:wrap="notBeside" w:vAnchor="text" w:hAnchor="margin" w:y="-90"/>
      <w:outlineLvl w:val="0"/>
    </w:pPr>
    <w:rPr>
      <w:rFonts w:ascii="Arial" w:hAnsi="Arial" w:cs="Arial"/>
      <w:sz w:val="44"/>
    </w:rPr>
  </w:style>
  <w:style w:type="paragraph" w:styleId="Titre2">
    <w:name w:val="heading 2"/>
    <w:basedOn w:val="Normal"/>
    <w:next w:val="Normal"/>
    <w:qFormat/>
    <w:pPr>
      <w:keepNext/>
      <w:jc w:val="center"/>
      <w:outlineLvl w:val="1"/>
    </w:pPr>
    <w:rPr>
      <w:rFonts w:ascii="Arial" w:hAnsi="Arial" w:cs="Arial"/>
      <w:b/>
      <w:bCs/>
      <w:sz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 w:type="paragraph" w:styleId="Corpsdetexte">
    <w:name w:val="Body Text"/>
    <w:basedOn w:val="Normal"/>
    <w:semiHidden/>
    <w:pPr>
      <w:jc w:val="both"/>
    </w:pPr>
    <w:rPr>
      <w:rFonts w:ascii="Arial" w:hAnsi="Arial" w:cs="Arial"/>
      <w:sz w:val="20"/>
    </w:rPr>
  </w:style>
  <w:style w:type="paragraph" w:styleId="Corpsdetexte2">
    <w:name w:val="Body Text 2"/>
    <w:basedOn w:val="Normal"/>
    <w:semiHidden/>
    <w:pPr>
      <w:jc w:val="both"/>
    </w:pPr>
    <w:rPr>
      <w:rFonts w:ascii="Arial" w:hAnsi="Arial" w:cs="Arial"/>
      <w:b/>
      <w:bCs/>
    </w:rPr>
  </w:style>
  <w:style w:type="paragraph" w:styleId="Corpsdetexte3">
    <w:name w:val="Body Text 3"/>
    <w:basedOn w:val="Normal"/>
    <w:semiHidden/>
    <w:pPr>
      <w:jc w:val="both"/>
    </w:pPr>
    <w:rPr>
      <w:rFonts w:ascii="Arial" w:hAnsi="Arial" w:cs="Arial"/>
    </w:rPr>
  </w:style>
  <w:style w:type="paragraph" w:styleId="En-tte">
    <w:name w:val="header"/>
    <w:basedOn w:val="Normal"/>
    <w:link w:val="En-tteCar"/>
    <w:uiPriority w:val="99"/>
    <w:unhideWhenUsed/>
    <w:rsid w:val="00086C5A"/>
    <w:pPr>
      <w:tabs>
        <w:tab w:val="center" w:pos="4536"/>
        <w:tab w:val="right" w:pos="9072"/>
      </w:tabs>
    </w:pPr>
  </w:style>
  <w:style w:type="character" w:customStyle="1" w:styleId="En-tteCar">
    <w:name w:val="En-tête Car"/>
    <w:basedOn w:val="Policepardfaut"/>
    <w:link w:val="En-tte"/>
    <w:uiPriority w:val="99"/>
    <w:rsid w:val="00086C5A"/>
    <w:rPr>
      <w:sz w:val="24"/>
      <w:szCs w:val="24"/>
    </w:rPr>
  </w:style>
  <w:style w:type="paragraph" w:styleId="Pieddepage">
    <w:name w:val="footer"/>
    <w:basedOn w:val="Normal"/>
    <w:link w:val="PieddepageCar"/>
    <w:uiPriority w:val="99"/>
    <w:unhideWhenUsed/>
    <w:rsid w:val="00086C5A"/>
    <w:pPr>
      <w:tabs>
        <w:tab w:val="center" w:pos="4536"/>
        <w:tab w:val="right" w:pos="9072"/>
      </w:tabs>
    </w:pPr>
  </w:style>
  <w:style w:type="character" w:customStyle="1" w:styleId="PieddepageCar">
    <w:name w:val="Pied de page Car"/>
    <w:basedOn w:val="Policepardfaut"/>
    <w:link w:val="Pieddepage"/>
    <w:uiPriority w:val="99"/>
    <w:rsid w:val="00086C5A"/>
    <w:rPr>
      <w:sz w:val="24"/>
      <w:szCs w:val="24"/>
    </w:rPr>
  </w:style>
  <w:style w:type="paragraph" w:styleId="Textedebulles">
    <w:name w:val="Balloon Text"/>
    <w:basedOn w:val="Normal"/>
    <w:link w:val="TextedebullesCar"/>
    <w:uiPriority w:val="99"/>
    <w:semiHidden/>
    <w:unhideWhenUsed/>
    <w:rsid w:val="00086C5A"/>
    <w:rPr>
      <w:rFonts w:ascii="Tahoma" w:hAnsi="Tahoma" w:cs="Tahoma"/>
      <w:sz w:val="16"/>
      <w:szCs w:val="16"/>
    </w:rPr>
  </w:style>
  <w:style w:type="character" w:customStyle="1" w:styleId="TextedebullesCar">
    <w:name w:val="Texte de bulles Car"/>
    <w:basedOn w:val="Policepardfaut"/>
    <w:link w:val="Textedebulles"/>
    <w:uiPriority w:val="99"/>
    <w:semiHidden/>
    <w:rsid w:val="00086C5A"/>
    <w:rPr>
      <w:rFonts w:ascii="Tahoma" w:hAnsi="Tahoma" w:cs="Tahoma"/>
      <w:sz w:val="16"/>
      <w:szCs w:val="16"/>
    </w:rPr>
  </w:style>
  <w:style w:type="paragraph" w:styleId="Titre">
    <w:name w:val="Title"/>
    <w:basedOn w:val="Normal"/>
    <w:qFormat/>
    <w:rsid w:val="00BB7967"/>
    <w:pPr>
      <w:jc w:val="center"/>
    </w:pPr>
    <w:rPr>
      <w:b/>
      <w:bCs/>
      <w:sz w:val="32"/>
    </w:rPr>
  </w:style>
  <w:style w:type="paragraph" w:styleId="Sous-titre">
    <w:name w:val="Subtitle"/>
    <w:basedOn w:val="Normal"/>
    <w:qFormat/>
    <w:rsid w:val="00BB7967"/>
    <w:pPr>
      <w:jc w:val="right"/>
    </w:pPr>
    <w:rPr>
      <w:b/>
      <w:bCs/>
    </w:rPr>
  </w:style>
  <w:style w:type="character" w:customStyle="1" w:styleId="hps">
    <w:name w:val="hps"/>
    <w:basedOn w:val="Policepardfaut"/>
    <w:rsid w:val="00E56822"/>
  </w:style>
  <w:style w:type="character" w:customStyle="1" w:styleId="atn">
    <w:name w:val="atn"/>
    <w:basedOn w:val="Policepardfaut"/>
    <w:rsid w:val="00E5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71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ocpatex@pasteur.fr" TargetMode="External"/><Relationship Id="rId9" Type="http://schemas.openxmlformats.org/officeDocument/2006/relationships/hyperlink" Target="mailto:florence.fenollar@univ-amu.fr"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3454</Characters>
  <Application>Microsoft Macintosh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XIIèmes Actualités du Pharo</vt:lpstr>
      <vt:lpstr>XIIèmes Actualités du Pharo</vt:lpstr>
    </vt:vector>
  </TitlesOfParts>
  <Company>Service de Santé des Armées</Company>
  <LinksUpToDate>false</LinksUpToDate>
  <CharactersWithSpaces>4074</CharactersWithSpaces>
  <SharedDoc>false</SharedDoc>
  <HLinks>
    <vt:vector size="18" baseType="variant">
      <vt:variant>
        <vt:i4>5701744</vt:i4>
      </vt:variant>
      <vt:variant>
        <vt:i4>3</vt:i4>
      </vt:variant>
      <vt:variant>
        <vt:i4>0</vt:i4>
      </vt:variant>
      <vt:variant>
        <vt:i4>5</vt:i4>
      </vt:variant>
      <vt:variant>
        <vt:lpwstr>mailto:florence.fenollar@univ-amu.fr</vt:lpwstr>
      </vt:variant>
      <vt:variant>
        <vt:lpwstr/>
      </vt:variant>
      <vt:variant>
        <vt:i4>655403</vt:i4>
      </vt:variant>
      <vt:variant>
        <vt:i4>0</vt:i4>
      </vt:variant>
      <vt:variant>
        <vt:i4>0</vt:i4>
      </vt:variant>
      <vt:variant>
        <vt:i4>5</vt:i4>
      </vt:variant>
      <vt:variant>
        <vt:lpwstr>mailto:socpatex@pasteur.fr</vt:lpwstr>
      </vt:variant>
      <vt:variant>
        <vt:lpwstr/>
      </vt:variant>
      <vt:variant>
        <vt:i4>131083</vt:i4>
      </vt:variant>
      <vt:variant>
        <vt:i4>0</vt:i4>
      </vt:variant>
      <vt:variant>
        <vt:i4>0</vt:i4>
      </vt:variant>
      <vt:variant>
        <vt:i4>5</vt:i4>
      </vt:variant>
      <vt:variant>
        <vt:lpwstr>http://spe-smanlf-2013.sciencesconf.org/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XIIèmes Actualités du Pharo</dc:title>
  <dc:subject/>
  <dc:creator>Gillet</dc:creator>
  <cp:keywords/>
  <cp:lastModifiedBy>Cheikh SOKHNA</cp:lastModifiedBy>
  <cp:revision>2</cp:revision>
  <cp:lastPrinted>2013-09-02T12:00:00Z</cp:lastPrinted>
  <dcterms:created xsi:type="dcterms:W3CDTF">2013-09-03T17:22:00Z</dcterms:created>
  <dcterms:modified xsi:type="dcterms:W3CDTF">2013-09-03T17:22:00Z</dcterms:modified>
</cp:coreProperties>
</file>