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19" w:rsidRDefault="00133419">
      <w:pPr>
        <w:jc w:val="center"/>
        <w:rPr>
          <w:rFonts w:ascii="Calibri" w:hAnsi="Calibri" w:cs="Arial"/>
          <w:b/>
          <w:bCs/>
          <w:sz w:val="28"/>
        </w:rPr>
      </w:pPr>
      <w:bookmarkStart w:id="0" w:name="_GoBack"/>
      <w:bookmarkEnd w:id="0"/>
    </w:p>
    <w:p w:rsidR="00133419" w:rsidRPr="007015A7" w:rsidRDefault="00133419" w:rsidP="00133419">
      <w:pPr>
        <w:jc w:val="center"/>
        <w:rPr>
          <w:rFonts w:ascii="Calibri" w:hAnsi="Calibri" w:cs="Arial"/>
          <w:sz w:val="22"/>
          <w:szCs w:val="22"/>
        </w:rPr>
      </w:pPr>
      <w:r w:rsidRPr="007015A7">
        <w:rPr>
          <w:rFonts w:ascii="Calibri" w:hAnsi="Calibri" w:cs="Arial"/>
          <w:sz w:val="22"/>
          <w:szCs w:val="22"/>
        </w:rPr>
        <w:t xml:space="preserve">Les propositions de communication comprenant le résumé (400 mots maximum) doivent parvenir </w:t>
      </w:r>
    </w:p>
    <w:p w:rsidR="00133419" w:rsidRPr="007015A7" w:rsidRDefault="00133419" w:rsidP="00133419">
      <w:pPr>
        <w:jc w:val="center"/>
        <w:rPr>
          <w:rFonts w:ascii="Calibri" w:hAnsi="Calibri" w:cs="Arial"/>
          <w:sz w:val="22"/>
          <w:szCs w:val="22"/>
        </w:rPr>
      </w:pPr>
      <w:r w:rsidRPr="007015A7">
        <w:rPr>
          <w:rFonts w:ascii="Calibri" w:hAnsi="Calibri" w:cs="Arial"/>
          <w:b/>
          <w:bCs/>
          <w:sz w:val="22"/>
          <w:szCs w:val="22"/>
        </w:rPr>
        <w:t>par courrier électronique à</w:t>
      </w:r>
    </w:p>
    <w:p w:rsidR="00133419" w:rsidRPr="007015A7" w:rsidRDefault="00621E3D" w:rsidP="00133419">
      <w:pPr>
        <w:jc w:val="center"/>
        <w:rPr>
          <w:rFonts w:ascii="Calibri" w:hAnsi="Calibri" w:cs="Arial"/>
          <w:b/>
          <w:bCs/>
          <w:sz w:val="22"/>
          <w:szCs w:val="22"/>
        </w:rPr>
      </w:pPr>
      <w:hyperlink r:id="rId7" w:history="1">
        <w:r w:rsidR="00133419" w:rsidRPr="007015A7">
          <w:rPr>
            <w:rStyle w:val="Lienhypertexte"/>
            <w:rFonts w:ascii="Calibri" w:hAnsi="Calibri" w:cs="Arial"/>
            <w:b/>
            <w:sz w:val="22"/>
            <w:szCs w:val="22"/>
          </w:rPr>
          <w:t>socpatex@pasteur.fr</w:t>
        </w:r>
      </w:hyperlink>
      <w:r w:rsidR="00133419" w:rsidRPr="007015A7">
        <w:rPr>
          <w:rFonts w:ascii="Calibri" w:hAnsi="Calibri" w:cs="Arial"/>
          <w:b/>
          <w:sz w:val="22"/>
          <w:szCs w:val="22"/>
        </w:rPr>
        <w:t xml:space="preserve"> </w:t>
      </w:r>
      <w:r w:rsidR="00133419" w:rsidRPr="007015A7">
        <w:rPr>
          <w:rFonts w:ascii="Calibri" w:hAnsi="Calibri" w:cs="Arial"/>
          <w:b/>
          <w:bCs/>
          <w:sz w:val="22"/>
          <w:szCs w:val="22"/>
        </w:rPr>
        <w:t>avant le 4 septembre 2013</w:t>
      </w:r>
    </w:p>
    <w:p w:rsidR="00133419" w:rsidRPr="00F72B5E" w:rsidRDefault="00133419">
      <w:pPr>
        <w:jc w:val="center"/>
        <w:rPr>
          <w:rFonts w:ascii="Calibri" w:hAnsi="Calibri" w:cs="Arial"/>
          <w:b/>
          <w:bCs/>
          <w:sz w:val="28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1"/>
      </w:tblGrid>
      <w:tr w:rsidR="00133419" w:rsidRPr="00F72B5E">
        <w:trPr>
          <w:trHeight w:val="1186"/>
        </w:trPr>
        <w:tc>
          <w:tcPr>
            <w:tcW w:w="9091" w:type="dxa"/>
          </w:tcPr>
          <w:p w:rsidR="00A96497" w:rsidRDefault="00133419" w:rsidP="00A96497">
            <w:pPr>
              <w:jc w:val="center"/>
              <w:rPr>
                <w:b/>
                <w:i/>
                <w:sz w:val="28"/>
                <w:szCs w:val="28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Titre de la communication :</w:t>
            </w:r>
            <w:r w:rsidR="00A96497" w:rsidRPr="004703FB">
              <w:rPr>
                <w:b/>
                <w:i/>
                <w:sz w:val="28"/>
                <w:szCs w:val="28"/>
              </w:rPr>
              <w:t xml:space="preserve"> </w:t>
            </w:r>
          </w:p>
          <w:p w:rsidR="00A96497" w:rsidRPr="00F7212A" w:rsidRDefault="00A96497" w:rsidP="00A96497">
            <w:pPr>
              <w:jc w:val="center"/>
              <w:rPr>
                <w:b/>
                <w:sz w:val="28"/>
                <w:szCs w:val="28"/>
              </w:rPr>
            </w:pPr>
            <w:r w:rsidRPr="004703FB">
              <w:rPr>
                <w:b/>
                <w:i/>
                <w:sz w:val="28"/>
                <w:szCs w:val="28"/>
              </w:rPr>
              <w:t>Anopheles coluzzii</w:t>
            </w:r>
            <w:r w:rsidRPr="00F7212A">
              <w:rPr>
                <w:b/>
                <w:sz w:val="28"/>
                <w:szCs w:val="28"/>
              </w:rPr>
              <w:t xml:space="preserve"> et </w:t>
            </w:r>
            <w:r w:rsidRPr="00EE07A1">
              <w:rPr>
                <w:b/>
                <w:i/>
                <w:sz w:val="28"/>
                <w:szCs w:val="28"/>
              </w:rPr>
              <w:t xml:space="preserve">Anopheles gambiae  </w:t>
            </w:r>
            <w:r>
              <w:rPr>
                <w:b/>
                <w:sz w:val="28"/>
                <w:szCs w:val="28"/>
              </w:rPr>
              <w:t>à Dielmo : d</w:t>
            </w:r>
            <w:r w:rsidRPr="00F7212A">
              <w:rPr>
                <w:b/>
                <w:sz w:val="28"/>
                <w:szCs w:val="28"/>
              </w:rPr>
              <w:t>ynamique et transmission</w:t>
            </w:r>
          </w:p>
          <w:p w:rsidR="00133419" w:rsidRPr="009A235A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</w:tc>
      </w:tr>
      <w:tr w:rsidR="00133419" w:rsidRPr="00F72B5E">
        <w:trPr>
          <w:trHeight w:val="523"/>
        </w:trPr>
        <w:tc>
          <w:tcPr>
            <w:tcW w:w="9091" w:type="dxa"/>
          </w:tcPr>
          <w:p w:rsidR="00A96497" w:rsidRDefault="00133419" w:rsidP="0013341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7015A7">
              <w:rPr>
                <w:rFonts w:ascii="Calibri" w:hAnsi="Calibri" w:cs="Arial"/>
                <w:b/>
                <w:bCs/>
                <w:color w:val="800000"/>
              </w:rPr>
              <w:t xml:space="preserve">Mots clefs (5 maximum) : </w:t>
            </w:r>
          </w:p>
          <w:p w:rsidR="00133419" w:rsidRPr="007015A7" w:rsidRDefault="00A96497" w:rsidP="0013341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4703FB">
              <w:rPr>
                <w:rFonts w:ascii="Calibri" w:hAnsi="Calibri"/>
              </w:rPr>
              <w:t xml:space="preserve">Paludisme, </w:t>
            </w:r>
            <w:r w:rsidRPr="00C169B5">
              <w:rPr>
                <w:rStyle w:val="hps"/>
                <w:i/>
              </w:rPr>
              <w:t>An. coluzzii,  An. gambiae</w:t>
            </w:r>
            <w:r w:rsidRPr="004703FB">
              <w:rPr>
                <w:rFonts w:ascii="Calibri" w:hAnsi="Calibri"/>
              </w:rPr>
              <w:t>, dynamique, transmission.</w:t>
            </w:r>
          </w:p>
          <w:p w:rsidR="00133419" w:rsidRPr="00F72B5E" w:rsidRDefault="00133419" w:rsidP="0013341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</w:rPr>
            </w:pPr>
          </w:p>
        </w:tc>
      </w:tr>
      <w:tr w:rsidR="00133419" w:rsidRPr="00F72B5E">
        <w:trPr>
          <w:trHeight w:val="941"/>
        </w:trPr>
        <w:tc>
          <w:tcPr>
            <w:tcW w:w="9091" w:type="dxa"/>
          </w:tcPr>
          <w:p w:rsidR="00133419" w:rsidRPr="00F72B5E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Proposée en (cocher la case) :</w:t>
            </w:r>
          </w:p>
          <w:p w:rsidR="00133419" w:rsidRPr="00F72B5E" w:rsidRDefault="00133419" w:rsidP="00133419">
            <w:pPr>
              <w:ind w:left="360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 w:cs="Arial"/>
              </w:rPr>
              <w:t>Communication orale</w:t>
            </w:r>
          </w:p>
          <w:p w:rsidR="00133419" w:rsidRDefault="00133419" w:rsidP="00133419">
            <w:pPr>
              <w:ind w:left="3600"/>
              <w:jc w:val="both"/>
              <w:rPr>
                <w:rFonts w:ascii="Calibri" w:hAnsi="Calibri" w:cs="Arial"/>
              </w:rPr>
            </w:pPr>
          </w:p>
          <w:p w:rsidR="00133419" w:rsidRPr="00F72B5E" w:rsidRDefault="00133419" w:rsidP="00133419">
            <w:pPr>
              <w:jc w:val="both"/>
              <w:rPr>
                <w:rFonts w:ascii="Calibri" w:hAnsi="Calibri" w:cs="Arial"/>
              </w:rPr>
            </w:pPr>
          </w:p>
        </w:tc>
      </w:tr>
      <w:tr w:rsidR="00133419" w:rsidRPr="00F72B5E">
        <w:trPr>
          <w:trHeight w:val="941"/>
        </w:trPr>
        <w:tc>
          <w:tcPr>
            <w:tcW w:w="9091" w:type="dxa"/>
          </w:tcPr>
          <w:p w:rsidR="00133419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>
              <w:rPr>
                <w:rFonts w:ascii="Calibri" w:hAnsi="Calibri" w:cs="Arial"/>
                <w:b/>
                <w:bCs/>
                <w:color w:val="800000"/>
              </w:rPr>
              <w:t>Communication proposée dans la session </w:t>
            </w:r>
            <w:r w:rsidRPr="00F72B5E">
              <w:rPr>
                <w:rFonts w:ascii="Calibri" w:hAnsi="Calibri" w:cs="Arial"/>
                <w:b/>
                <w:bCs/>
                <w:color w:val="800000"/>
              </w:rPr>
              <w:t>(cocher la case) :</w:t>
            </w:r>
          </w:p>
          <w:p w:rsidR="00133419" w:rsidRDefault="00A96497" w:rsidP="00133419">
            <w:pPr>
              <w:ind w:left="1800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 X</w:t>
            </w:r>
            <w:r w:rsidR="00133419">
              <w:rPr>
                <w:rFonts w:ascii="Calibri" w:hAnsi="Calibri" w:cs="Arial"/>
              </w:rPr>
              <w:t xml:space="preserve"> </w:t>
            </w:r>
            <w:r w:rsidR="00133419" w:rsidRPr="00F72B5E">
              <w:rPr>
                <w:rFonts w:ascii="Calibri" w:hAnsi="Calibri"/>
              </w:rPr>
              <w:t>Paludisme et autres maladies parasitaires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Fièvres émergentes - m</w:t>
            </w:r>
            <w:r w:rsidRPr="00F72B5E">
              <w:rPr>
                <w:rFonts w:ascii="Calibri" w:hAnsi="Calibri"/>
              </w:rPr>
              <w:t>aladies infectieuses tropicales négligées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Maladies nutritionnelles et diabète</w:t>
            </w:r>
          </w:p>
          <w:p w:rsidR="00133419" w:rsidRPr="00F72B5E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Maladies cardiovasculaires et complications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 w:cs="Arial"/>
                <w:color w:val="000000"/>
              </w:rPr>
              <w:t>Epilepsies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Mycoses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 w:rsidRPr="00F72B5E">
              <w:rPr>
                <w:rFonts w:ascii="Calibri" w:hAnsi="Calibri"/>
              </w:rPr>
              <w:t>ccès aux soins</w:t>
            </w:r>
            <w:r>
              <w:rPr>
                <w:rFonts w:ascii="Calibri" w:hAnsi="Calibri"/>
              </w:rPr>
              <w:t xml:space="preserve"> - </w:t>
            </w:r>
            <w:r w:rsidRPr="00F72B5E">
              <w:rPr>
                <w:rFonts w:ascii="Calibri" w:hAnsi="Calibri"/>
              </w:rPr>
              <w:t>Prise en charge VIH et sida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F</w:t>
            </w:r>
            <w:r w:rsidRPr="007015A7">
              <w:rPr>
                <w:rFonts w:ascii="Calibri" w:hAnsi="Calibri"/>
              </w:rPr>
              <w:t>inancement de la santé</w:t>
            </w:r>
            <w:r>
              <w:rPr>
                <w:rFonts w:ascii="Calibri" w:hAnsi="Calibri"/>
              </w:rPr>
              <w:t xml:space="preserve"> - R</w:t>
            </w:r>
            <w:r w:rsidRPr="007015A7">
              <w:rPr>
                <w:rFonts w:ascii="Calibri" w:hAnsi="Calibri"/>
              </w:rPr>
              <w:t>essources humaines</w:t>
            </w:r>
          </w:p>
          <w:p w:rsidR="00133419" w:rsidRPr="00F72B5E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/>
              </w:rPr>
              <w:t>Anthropologie de la santé</w:t>
            </w:r>
          </w:p>
        </w:tc>
      </w:tr>
      <w:tr w:rsidR="00133419" w:rsidRPr="00F72B5E">
        <w:trPr>
          <w:trHeight w:val="612"/>
        </w:trPr>
        <w:tc>
          <w:tcPr>
            <w:tcW w:w="9091" w:type="dxa"/>
          </w:tcPr>
          <w:p w:rsidR="00A96497" w:rsidRPr="00A96497" w:rsidRDefault="00133419" w:rsidP="00A96497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 xml:space="preserve">Auteurs (noms/prénoms) : </w:t>
            </w:r>
            <w:r w:rsidR="00A96497" w:rsidRPr="00A96497">
              <w:rPr>
                <w:rFonts w:ascii="Calibri" w:hAnsi="Calibri"/>
                <w:b/>
              </w:rPr>
              <w:t>Sougoufara S</w:t>
            </w:r>
            <w:r w:rsidR="00A96497">
              <w:rPr>
                <w:rFonts w:ascii="Calibri" w:hAnsi="Calibri"/>
                <w:b/>
              </w:rPr>
              <w:t>eynabou</w:t>
            </w:r>
            <w:r w:rsidR="00A96497" w:rsidRPr="00A96497">
              <w:rPr>
                <w:rFonts w:ascii="Calibri" w:hAnsi="Calibri"/>
                <w:b/>
              </w:rPr>
              <w:t>, Ndiath M</w:t>
            </w:r>
            <w:r w:rsidR="00A96497">
              <w:rPr>
                <w:rFonts w:ascii="Calibri" w:hAnsi="Calibri"/>
                <w:b/>
              </w:rPr>
              <w:t xml:space="preserve">amadou </w:t>
            </w:r>
            <w:r w:rsidR="00A96497" w:rsidRPr="00A96497">
              <w:rPr>
                <w:rFonts w:ascii="Calibri" w:hAnsi="Calibri"/>
                <w:b/>
              </w:rPr>
              <w:t>O</w:t>
            </w:r>
            <w:r w:rsidR="00A96497">
              <w:rPr>
                <w:rFonts w:ascii="Calibri" w:hAnsi="Calibri"/>
                <w:b/>
              </w:rPr>
              <w:t>usmane</w:t>
            </w:r>
            <w:r w:rsidR="00A96497" w:rsidRPr="00A96497">
              <w:rPr>
                <w:b/>
              </w:rPr>
              <w:t xml:space="preserve">, </w:t>
            </w:r>
            <w:r w:rsidR="00A96497" w:rsidRPr="00A96497">
              <w:rPr>
                <w:rFonts w:ascii="Calibri" w:hAnsi="Calibri"/>
                <w:b/>
              </w:rPr>
              <w:t>Bouganali C</w:t>
            </w:r>
            <w:r w:rsidR="00A96497">
              <w:rPr>
                <w:rFonts w:ascii="Calibri" w:hAnsi="Calibri"/>
                <w:b/>
              </w:rPr>
              <w:t>harles</w:t>
            </w:r>
            <w:r w:rsidR="00A96497" w:rsidRPr="00A96497">
              <w:rPr>
                <w:rFonts w:ascii="Calibri" w:hAnsi="Calibri"/>
                <w:b/>
              </w:rPr>
              <w:t>, Sembene P</w:t>
            </w:r>
            <w:r w:rsidR="00A96497">
              <w:rPr>
                <w:rFonts w:ascii="Calibri" w:hAnsi="Calibri"/>
                <w:b/>
              </w:rPr>
              <w:t>ape Mbacké</w:t>
            </w:r>
            <w:r w:rsidR="00A96497" w:rsidRPr="00A96497">
              <w:rPr>
                <w:rFonts w:ascii="Calibri" w:hAnsi="Calibri"/>
                <w:b/>
              </w:rPr>
              <w:t>, Trape J</w:t>
            </w:r>
            <w:r w:rsidR="00A96497">
              <w:rPr>
                <w:rFonts w:ascii="Calibri" w:hAnsi="Calibri"/>
                <w:b/>
              </w:rPr>
              <w:t xml:space="preserve">ean </w:t>
            </w:r>
            <w:r w:rsidR="00A96497" w:rsidRPr="00A96497">
              <w:rPr>
                <w:rFonts w:ascii="Calibri" w:hAnsi="Calibri"/>
                <w:b/>
              </w:rPr>
              <w:t>F</w:t>
            </w:r>
            <w:r w:rsidR="00A96497">
              <w:rPr>
                <w:rFonts w:ascii="Calibri" w:hAnsi="Calibri"/>
                <w:b/>
              </w:rPr>
              <w:t>rançois</w:t>
            </w:r>
            <w:r w:rsidR="00A96497" w:rsidRPr="00A96497">
              <w:rPr>
                <w:rFonts w:ascii="Calibri" w:hAnsi="Calibri"/>
                <w:b/>
              </w:rPr>
              <w:t>, Sokhna C</w:t>
            </w:r>
            <w:r w:rsidR="00A96497">
              <w:rPr>
                <w:rFonts w:ascii="Calibri" w:hAnsi="Calibri"/>
                <w:b/>
              </w:rPr>
              <w:t>heikh.</w:t>
            </w:r>
          </w:p>
          <w:p w:rsidR="00133419" w:rsidRPr="009A235A" w:rsidRDefault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</w:tc>
      </w:tr>
      <w:tr w:rsidR="00133419" w:rsidRPr="00F72B5E">
        <w:trPr>
          <w:trHeight w:val="989"/>
        </w:trPr>
        <w:tc>
          <w:tcPr>
            <w:tcW w:w="9091" w:type="dxa"/>
          </w:tcPr>
          <w:p w:rsidR="00133419" w:rsidRDefault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Adresse de correspondance de l’auteur responsable (et affiliation) :</w:t>
            </w:r>
          </w:p>
          <w:p w:rsidR="00A96497" w:rsidRPr="009A235A" w:rsidRDefault="00A96497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  <w:p w:rsidR="00A96497" w:rsidRPr="00B25E30" w:rsidRDefault="00A96497" w:rsidP="00A96497">
            <w:pPr>
              <w:ind w:left="1416"/>
              <w:rPr>
                <w:rFonts w:ascii="Arial Narrow" w:hAnsi="Arial Narrow"/>
              </w:rPr>
            </w:pPr>
            <w:r w:rsidRPr="00B25E30">
              <w:rPr>
                <w:rFonts w:ascii="Arial Narrow" w:hAnsi="Arial Narrow"/>
                <w:b/>
              </w:rPr>
              <w:t>1</w:t>
            </w:r>
            <w:r w:rsidRPr="00B25E30">
              <w:rPr>
                <w:rFonts w:ascii="Arial Narrow" w:hAnsi="Arial Narrow"/>
              </w:rPr>
              <w:t>. URMITE, UMR CNRS 6236 - IRD 198 - Aix Marseille Univer</w:t>
            </w:r>
            <w:r w:rsidR="000329F0">
              <w:rPr>
                <w:rFonts w:ascii="Arial Narrow" w:hAnsi="Arial Narrow"/>
              </w:rPr>
              <w:t xml:space="preserve">sité, Campus Universitaire </w:t>
            </w:r>
            <w:r w:rsidRPr="00B25E30">
              <w:rPr>
                <w:rFonts w:ascii="Arial Narrow" w:hAnsi="Arial Narrow"/>
              </w:rPr>
              <w:t>IRD de Hann, BP 1386 CP 18524 Dakar, Sénégal.</w:t>
            </w:r>
          </w:p>
          <w:p w:rsidR="00A96497" w:rsidRPr="00B25E30" w:rsidRDefault="00A96497" w:rsidP="00A96497">
            <w:pPr>
              <w:ind w:left="708" w:firstLine="708"/>
              <w:rPr>
                <w:rFonts w:ascii="Arial Narrow" w:hAnsi="Arial Narrow"/>
              </w:rPr>
            </w:pPr>
            <w:r w:rsidRPr="00B25E30">
              <w:rPr>
                <w:rFonts w:ascii="Arial Narrow" w:hAnsi="Arial Narrow"/>
                <w:b/>
              </w:rPr>
              <w:t>2</w:t>
            </w:r>
            <w:r w:rsidRPr="00B25E30">
              <w:rPr>
                <w:rFonts w:ascii="Arial Narrow" w:hAnsi="Arial Narrow"/>
              </w:rPr>
              <w:t>. Département de Biologie Animale, FST/UCAD, BP 5005 Dakar Fann, Sénégal</w:t>
            </w:r>
          </w:p>
          <w:p w:rsidR="00133419" w:rsidRPr="00F72B5E" w:rsidRDefault="00133419" w:rsidP="00133419">
            <w:pPr>
              <w:ind w:left="777"/>
              <w:rPr>
                <w:rFonts w:ascii="Calibri" w:hAnsi="Calibri" w:cs="Arial"/>
              </w:rPr>
            </w:pPr>
          </w:p>
        </w:tc>
      </w:tr>
      <w:tr w:rsidR="00133419" w:rsidRPr="00F72B5E">
        <w:trPr>
          <w:trHeight w:val="1613"/>
        </w:trPr>
        <w:tc>
          <w:tcPr>
            <w:tcW w:w="9091" w:type="dxa"/>
          </w:tcPr>
          <w:p w:rsidR="00133419" w:rsidRPr="00947344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947344">
              <w:rPr>
                <w:rFonts w:ascii="Calibri" w:hAnsi="Calibri" w:cs="Arial"/>
                <w:b/>
                <w:bCs/>
                <w:color w:val="800000"/>
              </w:rPr>
              <w:t xml:space="preserve">Adresse électronique :   </w:t>
            </w:r>
            <w:r w:rsidR="00A96497">
              <w:rPr>
                <w:rFonts w:ascii="Calibri" w:hAnsi="Calibri" w:cs="Arial"/>
                <w:b/>
                <w:bCs/>
                <w:color w:val="800000"/>
              </w:rPr>
              <w:t>seynabou.sougoufara@ird.fr</w:t>
            </w:r>
          </w:p>
          <w:p w:rsidR="00133419" w:rsidRPr="00947344" w:rsidRDefault="00133419" w:rsidP="00133419">
            <w:pPr>
              <w:jc w:val="both"/>
              <w:rPr>
                <w:rFonts w:ascii="Calibri" w:hAnsi="Calibri"/>
                <w:b/>
                <w:bCs/>
                <w:color w:val="800000"/>
              </w:rPr>
            </w:pPr>
          </w:p>
          <w:p w:rsidR="00133419" w:rsidRPr="00F72B5E" w:rsidRDefault="00133419" w:rsidP="00133419">
            <w:pPr>
              <w:jc w:val="both"/>
              <w:rPr>
                <w:rFonts w:ascii="Calibri" w:hAnsi="Calibri" w:cs="Arial"/>
              </w:rPr>
            </w:pPr>
            <w:r w:rsidRPr="00947344">
              <w:rPr>
                <w:rFonts w:ascii="Calibri" w:hAnsi="Calibri" w:cs="Arial"/>
                <w:b/>
                <w:bCs/>
                <w:color w:val="800000"/>
              </w:rPr>
              <w:t>Téléphone :</w:t>
            </w:r>
            <w:r w:rsidR="00A96497">
              <w:rPr>
                <w:rFonts w:ascii="Calibri" w:hAnsi="Calibri" w:cs="Arial"/>
                <w:b/>
                <w:bCs/>
                <w:color w:val="800000"/>
              </w:rPr>
              <w:t xml:space="preserve"> 00 221 33 849 35 39</w:t>
            </w:r>
          </w:p>
        </w:tc>
      </w:tr>
      <w:tr w:rsidR="00133419" w:rsidRPr="00F72B5E">
        <w:trPr>
          <w:trHeight w:val="10087"/>
        </w:trPr>
        <w:tc>
          <w:tcPr>
            <w:tcW w:w="9091" w:type="dxa"/>
          </w:tcPr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  <w:r w:rsidRPr="00F72B5E">
              <w:rPr>
                <w:rFonts w:ascii="Calibri" w:hAnsi="Calibri" w:cs="Arial"/>
              </w:rPr>
              <w:t>Résumé en français (400 mots maximum) :</w:t>
            </w: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A96497" w:rsidRPr="00A96497" w:rsidRDefault="00A96497" w:rsidP="00A96497">
            <w:pPr>
              <w:spacing w:line="276" w:lineRule="auto"/>
              <w:rPr>
                <w:b/>
              </w:rPr>
            </w:pPr>
            <w:r w:rsidRPr="00A96497">
              <w:rPr>
                <w:b/>
              </w:rPr>
              <w:t>Introduction</w:t>
            </w:r>
          </w:p>
          <w:p w:rsidR="00A96497" w:rsidRPr="00A96497" w:rsidRDefault="00A96497" w:rsidP="00A96497">
            <w:pPr>
              <w:spacing w:line="276" w:lineRule="auto"/>
              <w:jc w:val="both"/>
              <w:rPr>
                <w:rStyle w:val="hps"/>
              </w:rPr>
            </w:pPr>
            <w:r w:rsidRPr="00A96497">
              <w:rPr>
                <w:rStyle w:val="hps"/>
              </w:rPr>
              <w:t>En Afrique</w:t>
            </w:r>
            <w:r w:rsidRPr="00A96497">
              <w:t xml:space="preserve">, </w:t>
            </w:r>
            <w:r w:rsidRPr="00A96497">
              <w:rPr>
                <w:i/>
              </w:rPr>
              <w:t>An</w:t>
            </w:r>
            <w:r w:rsidR="003423C6">
              <w:rPr>
                <w:i/>
              </w:rPr>
              <w:t xml:space="preserve">opheles </w:t>
            </w:r>
            <w:r w:rsidRPr="00A96497">
              <w:rPr>
                <w:rStyle w:val="hps"/>
                <w:i/>
              </w:rPr>
              <w:t>gambiae</w:t>
            </w:r>
            <w:r w:rsidRPr="00A96497">
              <w:rPr>
                <w:i/>
              </w:rPr>
              <w:t xml:space="preserve"> s</w:t>
            </w:r>
            <w:r w:rsidRPr="00A96497">
              <w:rPr>
                <w:rStyle w:val="hps"/>
                <w:i/>
              </w:rPr>
              <w:t>.s</w:t>
            </w:r>
            <w:r w:rsidRPr="00A96497">
              <w:t xml:space="preserve"> </w:t>
            </w:r>
            <w:r w:rsidRPr="00A96497">
              <w:rPr>
                <w:rStyle w:val="hps"/>
              </w:rPr>
              <w:t xml:space="preserve">et </w:t>
            </w:r>
            <w:r w:rsidRPr="00A96497">
              <w:rPr>
                <w:rStyle w:val="hps"/>
                <w:i/>
              </w:rPr>
              <w:t>An</w:t>
            </w:r>
            <w:r w:rsidR="003423C6">
              <w:rPr>
                <w:rStyle w:val="hps"/>
                <w:i/>
              </w:rPr>
              <w:t>opheles</w:t>
            </w:r>
            <w:r w:rsidR="006E3904">
              <w:rPr>
                <w:i/>
              </w:rPr>
              <w:t xml:space="preserve"> </w:t>
            </w:r>
            <w:r w:rsidRPr="00A96497">
              <w:rPr>
                <w:rStyle w:val="hps"/>
                <w:i/>
              </w:rPr>
              <w:t>arabiensis</w:t>
            </w:r>
            <w:r w:rsidRPr="00A96497">
              <w:t xml:space="preserve"> sont </w:t>
            </w:r>
            <w:r w:rsidRPr="00A96497">
              <w:rPr>
                <w:rStyle w:val="hps"/>
              </w:rPr>
              <w:t>les</w:t>
            </w:r>
            <w:r w:rsidR="006E3904">
              <w:rPr>
                <w:rStyle w:val="hps"/>
              </w:rPr>
              <w:t xml:space="preserve"> </w:t>
            </w:r>
            <w:r w:rsidRPr="00A96497">
              <w:rPr>
                <w:rStyle w:val="hps"/>
              </w:rPr>
              <w:t>vecteurs majeurs d</w:t>
            </w:r>
            <w:r w:rsidR="009B2E66">
              <w:rPr>
                <w:rStyle w:val="hps"/>
              </w:rPr>
              <w:t>u</w:t>
            </w:r>
            <w:r w:rsidR="00D140FB">
              <w:rPr>
                <w:rStyle w:val="hps"/>
              </w:rPr>
              <w:t xml:space="preserve"> </w:t>
            </w:r>
            <w:r w:rsidRPr="00A96497">
              <w:rPr>
                <w:rStyle w:val="hps"/>
              </w:rPr>
              <w:t>paludisme</w:t>
            </w:r>
            <w:r w:rsidRPr="00A96497">
              <w:t xml:space="preserve">. </w:t>
            </w:r>
            <w:r w:rsidRPr="00A96497">
              <w:rPr>
                <w:rStyle w:val="hps"/>
              </w:rPr>
              <w:t>Il a été</w:t>
            </w:r>
            <w:r w:rsidRPr="00A96497">
              <w:t xml:space="preserve"> </w:t>
            </w:r>
            <w:r w:rsidRPr="00A96497">
              <w:rPr>
                <w:rStyle w:val="hps"/>
              </w:rPr>
              <w:t xml:space="preserve">démontré que l’espèce </w:t>
            </w:r>
            <w:r w:rsidR="000A6D2B">
              <w:rPr>
                <w:rStyle w:val="hps"/>
                <w:i/>
              </w:rPr>
              <w:t xml:space="preserve">An. </w:t>
            </w:r>
            <w:r w:rsidRPr="00A96497">
              <w:rPr>
                <w:rStyle w:val="hps"/>
                <w:i/>
              </w:rPr>
              <w:t>gambiae s.s</w:t>
            </w:r>
            <w:r w:rsidRPr="00A96497">
              <w:t xml:space="preserve"> </w:t>
            </w:r>
            <w:r w:rsidRPr="00A96497">
              <w:rPr>
                <w:rStyle w:val="hps"/>
              </w:rPr>
              <w:t>comprenait deux</w:t>
            </w:r>
            <w:r w:rsidRPr="00A96497">
              <w:t xml:space="preserve"> </w:t>
            </w:r>
            <w:r w:rsidRPr="00A96497">
              <w:rPr>
                <w:rStyle w:val="hps"/>
              </w:rPr>
              <w:t>formes moléculaires</w:t>
            </w:r>
            <w:r w:rsidR="009B2E66">
              <w:rPr>
                <w:rStyle w:val="hps"/>
              </w:rPr>
              <w:t>,</w:t>
            </w:r>
            <w:r w:rsidRPr="00A96497">
              <w:t xml:space="preserve"> la forme  </w:t>
            </w:r>
            <w:r w:rsidRPr="00A96497">
              <w:rPr>
                <w:rStyle w:val="hps"/>
              </w:rPr>
              <w:t xml:space="preserve">M qui est récemment nommée </w:t>
            </w:r>
            <w:r w:rsidRPr="00A96497">
              <w:rPr>
                <w:rStyle w:val="hps"/>
                <w:i/>
              </w:rPr>
              <w:t>Anopheles coluzzii</w:t>
            </w:r>
            <w:r w:rsidRPr="00A96497">
              <w:rPr>
                <w:rStyle w:val="hps"/>
              </w:rPr>
              <w:t xml:space="preserve"> et la forme </w:t>
            </w:r>
            <w:r w:rsidRPr="00A96497">
              <w:t xml:space="preserve"> </w:t>
            </w:r>
            <w:r w:rsidRPr="00A96497">
              <w:rPr>
                <w:rStyle w:val="hps"/>
              </w:rPr>
              <w:t xml:space="preserve">S qui est devenue </w:t>
            </w:r>
            <w:r w:rsidRPr="00A96497">
              <w:rPr>
                <w:rStyle w:val="hps"/>
                <w:i/>
              </w:rPr>
              <w:t>Anopheles gambiae</w:t>
            </w:r>
            <w:r w:rsidRPr="00A96497">
              <w:rPr>
                <w:rStyle w:val="hps"/>
              </w:rPr>
              <w:t>.</w:t>
            </w:r>
            <w:r w:rsidRPr="00A96497">
              <w:t xml:space="preserve"> </w:t>
            </w:r>
            <w:r w:rsidRPr="00A96497">
              <w:rPr>
                <w:rStyle w:val="hps"/>
              </w:rPr>
              <w:t>Nous étudions la</w:t>
            </w:r>
            <w:r w:rsidRPr="00A96497">
              <w:t xml:space="preserve"> </w:t>
            </w:r>
            <w:r w:rsidRPr="00A96497">
              <w:rPr>
                <w:rStyle w:val="hps"/>
              </w:rPr>
              <w:t>dynamique</w:t>
            </w:r>
            <w:r w:rsidRPr="00A96497">
              <w:t xml:space="preserve"> </w:t>
            </w:r>
            <w:r w:rsidRPr="00A96497">
              <w:rPr>
                <w:rStyle w:val="hps"/>
              </w:rPr>
              <w:t>longitudinale de chacune de ces deux espèces</w:t>
            </w:r>
            <w:r w:rsidRPr="00A96497">
              <w:t xml:space="preserve"> </w:t>
            </w:r>
            <w:r w:rsidRPr="00A96497">
              <w:rPr>
                <w:rStyle w:val="hps"/>
              </w:rPr>
              <w:t>afin d'évaluer</w:t>
            </w:r>
            <w:r w:rsidRPr="00A96497">
              <w:t xml:space="preserve"> </w:t>
            </w:r>
            <w:r w:rsidRPr="00A96497">
              <w:rPr>
                <w:rStyle w:val="hps"/>
              </w:rPr>
              <w:t>les flux de gènes</w:t>
            </w:r>
            <w:r w:rsidRPr="00A96497">
              <w:t xml:space="preserve"> </w:t>
            </w:r>
            <w:r w:rsidRPr="00A96497">
              <w:rPr>
                <w:rStyle w:val="hps"/>
              </w:rPr>
              <w:t xml:space="preserve">et de déterminer le </w:t>
            </w:r>
            <w:r w:rsidRPr="00A96497">
              <w:t xml:space="preserve"> </w:t>
            </w:r>
            <w:r w:rsidRPr="00A96497">
              <w:rPr>
                <w:rStyle w:val="hps"/>
              </w:rPr>
              <w:t>rôle épidémiologique de chacune</w:t>
            </w:r>
            <w:r w:rsidR="00BF3DA5">
              <w:rPr>
                <w:rStyle w:val="hps"/>
              </w:rPr>
              <w:t xml:space="preserve"> d’elle</w:t>
            </w:r>
            <w:r w:rsidRPr="00A96497">
              <w:rPr>
                <w:rStyle w:val="hps"/>
              </w:rPr>
              <w:t xml:space="preserve"> dans la transmission du paludisme.</w:t>
            </w:r>
          </w:p>
          <w:p w:rsidR="00A96497" w:rsidRPr="00A96497" w:rsidRDefault="00A96497" w:rsidP="00A96497">
            <w:pPr>
              <w:spacing w:line="276" w:lineRule="auto"/>
              <w:jc w:val="both"/>
              <w:rPr>
                <w:rStyle w:val="hps"/>
              </w:rPr>
            </w:pPr>
            <w:r w:rsidRPr="00A96497">
              <w:rPr>
                <w:rStyle w:val="hps"/>
                <w:b/>
              </w:rPr>
              <w:t xml:space="preserve">Méthodes </w:t>
            </w:r>
          </w:p>
          <w:p w:rsidR="00A96497" w:rsidRPr="00A96497" w:rsidRDefault="00A96497" w:rsidP="00A96497">
            <w:pPr>
              <w:spacing w:line="276" w:lineRule="auto"/>
              <w:jc w:val="both"/>
              <w:rPr>
                <w:rStyle w:val="hps"/>
              </w:rPr>
            </w:pPr>
            <w:r w:rsidRPr="00A96497">
              <w:rPr>
                <w:rStyle w:val="hps"/>
              </w:rPr>
              <w:t>Cette étude a été effectuée à Dielmo, un</w:t>
            </w:r>
            <w:r w:rsidR="006E3904">
              <w:rPr>
                <w:rStyle w:val="hps"/>
              </w:rPr>
              <w:t xml:space="preserve"> village situé</w:t>
            </w:r>
            <w:r w:rsidR="000A6D2B">
              <w:rPr>
                <w:rStyle w:val="hps"/>
              </w:rPr>
              <w:t xml:space="preserve"> à 280km au Sud-e</w:t>
            </w:r>
            <w:r w:rsidR="000A6D2B" w:rsidRPr="00A96497">
              <w:rPr>
                <w:rStyle w:val="hps"/>
              </w:rPr>
              <w:t>st</w:t>
            </w:r>
            <w:r w:rsidRPr="00A96497">
              <w:rPr>
                <w:rStyle w:val="hps"/>
              </w:rPr>
              <w:t xml:space="preserve"> de Dakar</w:t>
            </w:r>
            <w:r w:rsidR="00BF3DA5">
              <w:rPr>
                <w:rStyle w:val="hps"/>
              </w:rPr>
              <w:t xml:space="preserve">. Ce village est </w:t>
            </w:r>
            <w:r w:rsidRPr="00A96497">
              <w:rPr>
                <w:rStyle w:val="hps"/>
              </w:rPr>
              <w:t xml:space="preserve">caractérisé par la présence d’une petite rivière qui permet la prolifération des larves d’anophèles toute l’année. Les moustiques ont été capturés mensuellement entre 2006 et 2011 </w:t>
            </w:r>
            <w:r w:rsidR="009B2E66">
              <w:rPr>
                <w:rStyle w:val="hps"/>
              </w:rPr>
              <w:t>à l’aide</w:t>
            </w:r>
            <w:r w:rsidR="00D140FB">
              <w:rPr>
                <w:rStyle w:val="hps"/>
              </w:rPr>
              <w:t xml:space="preserve"> </w:t>
            </w:r>
            <w:r w:rsidRPr="00A96497">
              <w:rPr>
                <w:rStyle w:val="hps"/>
              </w:rPr>
              <w:t xml:space="preserve">appât humain. L’infection </w:t>
            </w:r>
            <w:r w:rsidR="009B2E66">
              <w:rPr>
                <w:rStyle w:val="hps"/>
              </w:rPr>
              <w:t>par le</w:t>
            </w:r>
            <w:r w:rsidR="009B2E66" w:rsidRPr="00A96497">
              <w:rPr>
                <w:rStyle w:val="hps"/>
              </w:rPr>
              <w:t xml:space="preserve"> </w:t>
            </w:r>
            <w:r w:rsidRPr="00A96497">
              <w:rPr>
                <w:rStyle w:val="hps"/>
                <w:i/>
              </w:rPr>
              <w:t>Plasmodium</w:t>
            </w:r>
            <w:r w:rsidRPr="00A96497">
              <w:rPr>
                <w:rStyle w:val="hps"/>
              </w:rPr>
              <w:t xml:space="preserve"> a été déterminée par</w:t>
            </w:r>
            <w:r w:rsidR="009B2E66">
              <w:rPr>
                <w:rStyle w:val="hps"/>
              </w:rPr>
              <w:t xml:space="preserve"> la technique </w:t>
            </w:r>
            <w:r w:rsidR="00D140FB">
              <w:rPr>
                <w:rStyle w:val="hps"/>
              </w:rPr>
              <w:t>d’ELISA-CSP</w:t>
            </w:r>
            <w:r w:rsidRPr="00A96497">
              <w:rPr>
                <w:rStyle w:val="hps"/>
              </w:rPr>
              <w:t xml:space="preserve"> et les différentes espèces</w:t>
            </w:r>
            <w:r w:rsidR="009B2E66">
              <w:rPr>
                <w:rStyle w:val="hps"/>
              </w:rPr>
              <w:t xml:space="preserve"> ont été</w:t>
            </w:r>
            <w:r w:rsidRPr="00A96497">
              <w:rPr>
                <w:rStyle w:val="hps"/>
              </w:rPr>
              <w:t xml:space="preserve"> identifiées par PCR. En juillet 2008, une distribution de moustiquaires imprégnées a été effectuée au niveau de tout le village puis en 2011, ces moustiquaires ont été toutes renouvelées.</w:t>
            </w:r>
          </w:p>
          <w:p w:rsidR="00A96497" w:rsidRPr="00A96497" w:rsidRDefault="00A96497" w:rsidP="00A96497">
            <w:pPr>
              <w:spacing w:line="276" w:lineRule="auto"/>
              <w:jc w:val="both"/>
              <w:rPr>
                <w:rStyle w:val="hps"/>
              </w:rPr>
            </w:pPr>
            <w:r w:rsidRPr="00A96497">
              <w:rPr>
                <w:rStyle w:val="hps"/>
                <w:b/>
              </w:rPr>
              <w:t>Résultats</w:t>
            </w:r>
          </w:p>
          <w:p w:rsidR="00BF3DA5" w:rsidRPr="00A96497" w:rsidRDefault="00A96497" w:rsidP="00BF3DA5">
            <w:pPr>
              <w:spacing w:line="276" w:lineRule="auto"/>
              <w:jc w:val="both"/>
            </w:pPr>
            <w:r w:rsidRPr="00A96497">
              <w:rPr>
                <w:rStyle w:val="hps"/>
              </w:rPr>
              <w:t xml:space="preserve">Au total 14.292 anophèles ont été capturés </w:t>
            </w:r>
            <w:r w:rsidR="00C565F0">
              <w:rPr>
                <w:rStyle w:val="hps"/>
              </w:rPr>
              <w:t>dont</w:t>
            </w:r>
            <w:r w:rsidR="00D140FB">
              <w:rPr>
                <w:rStyle w:val="hps"/>
              </w:rPr>
              <w:t xml:space="preserve"> </w:t>
            </w:r>
            <w:r w:rsidRPr="00A96497">
              <w:rPr>
                <w:rStyle w:val="hps"/>
              </w:rPr>
              <w:t xml:space="preserve">62% appartiennent au complexe </w:t>
            </w:r>
            <w:r w:rsidRPr="00A96497">
              <w:rPr>
                <w:rStyle w:val="hps"/>
                <w:i/>
              </w:rPr>
              <w:t>Anopheles gambiae</w:t>
            </w:r>
            <w:r w:rsidRPr="00A96497">
              <w:rPr>
                <w:rStyle w:val="hps"/>
              </w:rPr>
              <w:t xml:space="preserve">. Les résultats montrent une </w:t>
            </w:r>
            <w:r w:rsidR="00D140FB">
              <w:rPr>
                <w:rStyle w:val="hps"/>
              </w:rPr>
              <w:t>variation du taux d’agressivité suivant les années</w:t>
            </w:r>
            <w:r w:rsidRPr="00A96497">
              <w:rPr>
                <w:rStyle w:val="hps"/>
              </w:rPr>
              <w:t>,</w:t>
            </w:r>
            <w:r w:rsidR="00D140FB">
              <w:rPr>
                <w:rStyle w:val="hps"/>
              </w:rPr>
              <w:t xml:space="preserve"> et aussi </w:t>
            </w:r>
            <w:r w:rsidRPr="00A96497">
              <w:rPr>
                <w:rStyle w:val="hps"/>
              </w:rPr>
              <w:t>d’une espèce à l’autre</w:t>
            </w:r>
            <w:r w:rsidR="00D140FB">
              <w:rPr>
                <w:rStyle w:val="hps"/>
              </w:rPr>
              <w:t xml:space="preserve">, </w:t>
            </w:r>
            <w:r w:rsidRPr="00A96497">
              <w:rPr>
                <w:rStyle w:val="hps"/>
              </w:rPr>
              <w:t xml:space="preserve"> mais </w:t>
            </w:r>
            <w:r w:rsidR="00D140FB">
              <w:rPr>
                <w:rStyle w:val="hps"/>
              </w:rPr>
              <w:t xml:space="preserve">globalement </w:t>
            </w:r>
            <w:r w:rsidR="00C565F0" w:rsidRPr="00A96497">
              <w:rPr>
                <w:rStyle w:val="hps"/>
                <w:i/>
              </w:rPr>
              <w:t>Anopheles coluzzii</w:t>
            </w:r>
            <w:r w:rsidR="00C565F0" w:rsidRPr="00A96497">
              <w:rPr>
                <w:rStyle w:val="hps"/>
              </w:rPr>
              <w:t xml:space="preserve"> </w:t>
            </w:r>
            <w:r w:rsidR="00C565F0">
              <w:rPr>
                <w:rStyle w:val="hps"/>
              </w:rPr>
              <w:t xml:space="preserve">et </w:t>
            </w:r>
            <w:r w:rsidR="00C565F0" w:rsidRPr="00A96497">
              <w:rPr>
                <w:rStyle w:val="hps"/>
                <w:i/>
              </w:rPr>
              <w:t>Anopheles gambiae</w:t>
            </w:r>
            <w:r w:rsidR="00C565F0" w:rsidRPr="00A96497">
              <w:rPr>
                <w:rStyle w:val="hps"/>
              </w:rPr>
              <w:t xml:space="preserve"> </w:t>
            </w:r>
            <w:r w:rsidRPr="00A96497">
              <w:rPr>
                <w:rStyle w:val="hps"/>
              </w:rPr>
              <w:t>présentent une agressivité qui est 5 fois supérieur</w:t>
            </w:r>
            <w:r w:rsidR="00D140FB">
              <w:rPr>
                <w:rStyle w:val="hps"/>
              </w:rPr>
              <w:t>e</w:t>
            </w:r>
            <w:r w:rsidRPr="00A96497">
              <w:rPr>
                <w:rStyle w:val="hps"/>
              </w:rPr>
              <w:t xml:space="preserve"> à celle d’</w:t>
            </w:r>
            <w:r w:rsidRPr="00A96497">
              <w:rPr>
                <w:rStyle w:val="hps"/>
                <w:i/>
              </w:rPr>
              <w:t>An. arabiensis.</w:t>
            </w:r>
            <w:r w:rsidR="00295583">
              <w:rPr>
                <w:rStyle w:val="hps"/>
              </w:rPr>
              <w:t xml:space="preserve">  De même, des variations du taux d’infection ont été notées entre les différentes espèces mais </w:t>
            </w:r>
            <w:r w:rsidR="00295583" w:rsidRPr="00295583">
              <w:rPr>
                <w:rStyle w:val="hps"/>
                <w:i/>
              </w:rPr>
              <w:t>An. gambiae</w:t>
            </w:r>
            <w:r w:rsidR="00295583">
              <w:rPr>
                <w:rStyle w:val="hps"/>
              </w:rPr>
              <w:t xml:space="preserve"> </w:t>
            </w:r>
            <w:r w:rsidR="00295583" w:rsidRPr="00295583">
              <w:t>présente le plus fort taux d’infection et ce</w:t>
            </w:r>
            <w:r w:rsidR="00295583">
              <w:t>ci</w:t>
            </w:r>
            <w:r w:rsidR="00295583" w:rsidRPr="00295583">
              <w:t xml:space="preserve"> de manière significative</w:t>
            </w:r>
            <w:r w:rsidRPr="00A96497">
              <w:rPr>
                <w:rStyle w:val="hps"/>
              </w:rPr>
              <w:t xml:space="preserve">. </w:t>
            </w:r>
            <w:r w:rsidR="00BF3DA5" w:rsidRPr="00A96497">
              <w:rPr>
                <w:rFonts w:eastAsia="Calibri"/>
              </w:rPr>
              <w:t xml:space="preserve">Le </w:t>
            </w:r>
            <w:r w:rsidR="00FF74D6">
              <w:rPr>
                <w:rFonts w:eastAsia="Calibri"/>
              </w:rPr>
              <w:t>taux</w:t>
            </w:r>
            <w:r w:rsidR="00BF3DA5" w:rsidRPr="00A96497">
              <w:rPr>
                <w:rFonts w:eastAsia="Calibri"/>
              </w:rPr>
              <w:t xml:space="preserve"> d’hybrides</w:t>
            </w:r>
            <w:r w:rsidR="008C3B87">
              <w:rPr>
                <w:rFonts w:eastAsia="Calibri"/>
              </w:rPr>
              <w:t xml:space="preserve"> a légèrement varié au cours de cette étude</w:t>
            </w:r>
            <w:r w:rsidR="00AD1610">
              <w:rPr>
                <w:rFonts w:eastAsia="Calibri"/>
              </w:rPr>
              <w:t xml:space="preserve"> </w:t>
            </w:r>
            <w:r w:rsidR="00FD14BF">
              <w:rPr>
                <w:rFonts w:eastAsia="Calibri"/>
              </w:rPr>
              <w:t xml:space="preserve">(~1%) </w:t>
            </w:r>
            <w:r w:rsidR="00AD1610">
              <w:rPr>
                <w:rFonts w:eastAsia="Calibri"/>
              </w:rPr>
              <w:t xml:space="preserve">et est resté </w:t>
            </w:r>
            <w:r w:rsidR="00BF3DA5" w:rsidRPr="00A96497">
              <w:rPr>
                <w:rFonts w:eastAsia="Calibri"/>
              </w:rPr>
              <w:t>largement inf</w:t>
            </w:r>
            <w:r w:rsidR="004350C1">
              <w:rPr>
                <w:rFonts w:eastAsia="Calibri"/>
              </w:rPr>
              <w:t xml:space="preserve">érieur à ce </w:t>
            </w:r>
            <w:r w:rsidR="00AD1610">
              <w:rPr>
                <w:rFonts w:eastAsia="Calibri"/>
              </w:rPr>
              <w:t xml:space="preserve">qui était </w:t>
            </w:r>
            <w:r w:rsidR="004350C1">
              <w:rPr>
                <w:rFonts w:eastAsia="Calibri"/>
              </w:rPr>
              <w:t xml:space="preserve">attendu </w:t>
            </w:r>
            <w:r w:rsidR="00BF3DA5" w:rsidRPr="00A96497">
              <w:rPr>
                <w:rFonts w:eastAsia="Calibri"/>
              </w:rPr>
              <w:t>si les croisements étaient panmictiques</w:t>
            </w:r>
            <w:r w:rsidR="00BF3DA5" w:rsidRPr="00A96497">
              <w:t>.</w:t>
            </w:r>
          </w:p>
          <w:p w:rsidR="00A96497" w:rsidRPr="00A96497" w:rsidRDefault="00A96497" w:rsidP="00A96497">
            <w:pPr>
              <w:spacing w:line="276" w:lineRule="auto"/>
              <w:jc w:val="both"/>
              <w:rPr>
                <w:b/>
              </w:rPr>
            </w:pPr>
            <w:r w:rsidRPr="00A96497">
              <w:rPr>
                <w:b/>
              </w:rPr>
              <w:t>Conclusion</w:t>
            </w:r>
          </w:p>
          <w:p w:rsidR="00A96497" w:rsidRPr="00A96497" w:rsidRDefault="00A96497" w:rsidP="00A96497">
            <w:pPr>
              <w:spacing w:line="276" w:lineRule="auto"/>
              <w:jc w:val="both"/>
            </w:pPr>
            <w:r w:rsidRPr="00A96497">
              <w:t xml:space="preserve">Ces résultats montrent que </w:t>
            </w:r>
            <w:r w:rsidR="00C565F0" w:rsidRPr="00A96497">
              <w:rPr>
                <w:rStyle w:val="hps"/>
                <w:i/>
              </w:rPr>
              <w:t>Anopheles coluzzii</w:t>
            </w:r>
            <w:r w:rsidR="00C565F0" w:rsidRPr="00A96497">
              <w:rPr>
                <w:rStyle w:val="hps"/>
              </w:rPr>
              <w:t xml:space="preserve"> </w:t>
            </w:r>
            <w:r w:rsidR="00C565F0">
              <w:rPr>
                <w:rStyle w:val="hps"/>
              </w:rPr>
              <w:t xml:space="preserve">et </w:t>
            </w:r>
            <w:r w:rsidR="00C565F0" w:rsidRPr="00A96497">
              <w:rPr>
                <w:rStyle w:val="hps"/>
                <w:i/>
              </w:rPr>
              <w:t>Anopheles gambiae</w:t>
            </w:r>
            <w:r w:rsidR="00C565F0" w:rsidRPr="00A96497">
              <w:rPr>
                <w:rStyle w:val="hps"/>
              </w:rPr>
              <w:t xml:space="preserve"> </w:t>
            </w:r>
            <w:r w:rsidR="006E3904">
              <w:rPr>
                <w:rStyle w:val="hps"/>
              </w:rPr>
              <w:t xml:space="preserve">sont deux </w:t>
            </w:r>
            <w:r w:rsidR="000329F0">
              <w:rPr>
                <w:rStyle w:val="hps"/>
              </w:rPr>
              <w:t xml:space="preserve">espèces </w:t>
            </w:r>
            <w:r w:rsidR="006E3904">
              <w:rPr>
                <w:rStyle w:val="hps"/>
              </w:rPr>
              <w:t xml:space="preserve">qui </w:t>
            </w:r>
            <w:r w:rsidRPr="00A96497">
              <w:t xml:space="preserve">interviennent dans </w:t>
            </w:r>
            <w:r w:rsidR="004350C1">
              <w:t xml:space="preserve">la transmission du paludisme à </w:t>
            </w:r>
            <w:r w:rsidRPr="00A96497">
              <w:t>Dielmo</w:t>
            </w:r>
            <w:r w:rsidR="00C565F0">
              <w:t>. Cependant,</w:t>
            </w:r>
            <w:r w:rsidRPr="00A96497">
              <w:t xml:space="preserve"> des études poussées sur la biologie de chacune d’elle devraient permettre de développer des stratégies de lutte anti vectorielle adaptées afin de mieux les cibler.</w:t>
            </w: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33419" w:rsidRPr="00F72B5E" w:rsidRDefault="00133419" w:rsidP="00133419">
      <w:pPr>
        <w:rPr>
          <w:rFonts w:ascii="Calibri" w:hAnsi="Calibri"/>
        </w:rPr>
      </w:pPr>
    </w:p>
    <w:sectPr w:rsidR="00133419" w:rsidRPr="00F72B5E" w:rsidSect="00621E3D">
      <w:headerReference w:type="default" r:id="rId8"/>
      <w:footerReference w:type="default" r:id="rId9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1B" w:rsidRDefault="00FF781B" w:rsidP="00133419">
      <w:r>
        <w:separator/>
      </w:r>
    </w:p>
  </w:endnote>
  <w:endnote w:type="continuationSeparator" w:id="0">
    <w:p w:rsidR="00FF781B" w:rsidRDefault="00FF781B" w:rsidP="0013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9" w:rsidRDefault="00133419">
    <w:pPr>
      <w:pStyle w:val="Pieddepage"/>
    </w:pPr>
  </w:p>
  <w:p w:rsidR="00133419" w:rsidRDefault="00133419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1B" w:rsidRDefault="00FF781B" w:rsidP="00133419">
      <w:r>
        <w:separator/>
      </w:r>
    </w:p>
  </w:footnote>
  <w:footnote w:type="continuationSeparator" w:id="0">
    <w:p w:rsidR="00FF781B" w:rsidRDefault="00FF781B" w:rsidP="001334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9" w:rsidRDefault="00133419" w:rsidP="00133419">
    <w:pPr>
      <w:pStyle w:val="Titre"/>
      <w:rPr>
        <w:sz w:val="36"/>
      </w:rPr>
    </w:pPr>
    <w:r>
      <w:rPr>
        <w:sz w:val="36"/>
      </w:rPr>
      <w:t>9</w:t>
    </w:r>
    <w:r w:rsidRPr="009543CA">
      <w:rPr>
        <w:sz w:val="36"/>
        <w:vertAlign w:val="superscript"/>
      </w:rPr>
      <w:t>ème</w:t>
    </w:r>
    <w:r>
      <w:rPr>
        <w:sz w:val="36"/>
      </w:rPr>
      <w:t xml:space="preserve"> Congrès International Francophone de la Société de Pathologie Exotique, en partenariat avec la Société Médicale d’Afrique Noire de Langue Française</w:t>
    </w:r>
  </w:p>
  <w:p w:rsidR="00133419" w:rsidRDefault="00133419" w:rsidP="00133419">
    <w:pPr>
      <w:pStyle w:val="Titre"/>
      <w:rPr>
        <w:sz w:val="36"/>
      </w:rPr>
    </w:pPr>
    <w:r>
      <w:rPr>
        <w:sz w:val="36"/>
      </w:rPr>
      <w:t>Dakar, 12-14 novembre 2013</w:t>
    </w:r>
  </w:p>
  <w:p w:rsidR="00133419" w:rsidRPr="00634EF7" w:rsidRDefault="00133419" w:rsidP="00133419">
    <w:pPr>
      <w:pStyle w:val="Sous-titre"/>
      <w:jc w:val="center"/>
      <w:rPr>
        <w:smallCaps/>
        <w:color w:val="800000"/>
        <w:sz w:val="28"/>
      </w:rPr>
    </w:pPr>
    <w:r w:rsidRPr="00634EF7">
      <w:rPr>
        <w:smallCaps/>
        <w:color w:val="800000"/>
        <w:sz w:val="28"/>
      </w:rPr>
      <w:t>Proposition de communication</w:t>
    </w:r>
  </w:p>
  <w:p w:rsidR="00133419" w:rsidRDefault="00133419" w:rsidP="00133419">
    <w:pPr>
      <w:pStyle w:val="En-tte"/>
    </w:pPr>
  </w:p>
  <w:p w:rsidR="00133419" w:rsidRDefault="00133419" w:rsidP="00133419">
    <w:pPr>
      <w:pStyle w:val="En-tte"/>
      <w:rPr>
        <w:rFonts w:ascii="Verdana" w:hAnsi="Verdana"/>
        <w:sz w:val="20"/>
        <w:szCs w:val="20"/>
      </w:rPr>
    </w:pPr>
    <w:r>
      <w:t>Les résumés seront soumis de préférence en ligne sur le site de la conférence.</w:t>
    </w:r>
    <w:r>
      <w:rPr>
        <w:rFonts w:ascii="Verdana" w:hAnsi="Verdana"/>
        <w:sz w:val="20"/>
        <w:szCs w:val="20"/>
      </w:rPr>
      <w:br/>
    </w:r>
    <w:r w:rsidR="00621E3D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</w:instrText>
    </w:r>
    <w:r w:rsidR="00CF03B1">
      <w:rPr>
        <w:rFonts w:ascii="Verdana" w:hAnsi="Verdana"/>
        <w:sz w:val="20"/>
        <w:szCs w:val="20"/>
      </w:rPr>
      <w:instrText>HYPERLINK</w:instrText>
    </w:r>
    <w:r>
      <w:rPr>
        <w:rFonts w:ascii="Verdana" w:hAnsi="Verdana"/>
        <w:sz w:val="20"/>
        <w:szCs w:val="20"/>
      </w:rPr>
      <w:instrText xml:space="preserve"> "http://spe-smanlf-2013.sciencesconf.org/" \o "Dkr soumission resume" \t "_blank" </w:instrText>
    </w:r>
    <w:r w:rsidR="00621E3D">
      <w:rPr>
        <w:rFonts w:ascii="Verdana" w:hAnsi="Verdana"/>
        <w:sz w:val="20"/>
        <w:szCs w:val="20"/>
      </w:rPr>
      <w:fldChar w:fldCharType="separate"/>
    </w:r>
    <w:r>
      <w:rPr>
        <w:rStyle w:val="Lienhypertexte"/>
        <w:rFonts w:ascii="Verdana" w:hAnsi="Verdana"/>
        <w:color w:val="0B36A2"/>
        <w:sz w:val="20"/>
        <w:szCs w:val="20"/>
      </w:rPr>
      <w:t>http://spe-smanlf-2013.sciencesconf.org</w:t>
    </w:r>
    <w:r w:rsidR="00621E3D">
      <w:rPr>
        <w:rFonts w:ascii="Verdana" w:hAnsi="Verdana"/>
        <w:sz w:val="20"/>
        <w:szCs w:val="20"/>
      </w:rPr>
      <w:fldChar w:fldCharType="end"/>
    </w:r>
  </w:p>
  <w:p w:rsidR="00133419" w:rsidRPr="00BB7967" w:rsidRDefault="00133419" w:rsidP="00133419">
    <w:pPr>
      <w:pStyle w:val="En-tte"/>
    </w:pPr>
    <w:r>
      <w:rPr>
        <w:rFonts w:ascii="Verdana" w:hAnsi="Verdana"/>
        <w:sz w:val="20"/>
        <w:szCs w:val="20"/>
      </w:rPr>
      <w:t>Il est nécessaire de s’inscrire sur le site dédié à la conférence (indiquer un identifiant : votre email par exemple et un mot de passe). En cas de perte, ce mot de passe vous sera renvoyé par email.</w:t>
    </w:r>
  </w:p>
  <w:p w:rsidR="00133419" w:rsidRPr="009A235A" w:rsidRDefault="00133419" w:rsidP="0013341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5A3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48DA"/>
    <w:rsid w:val="000329F0"/>
    <w:rsid w:val="00055EEB"/>
    <w:rsid w:val="000A6D2B"/>
    <w:rsid w:val="0013130F"/>
    <w:rsid w:val="00133419"/>
    <w:rsid w:val="00295583"/>
    <w:rsid w:val="003423C6"/>
    <w:rsid w:val="00370B1F"/>
    <w:rsid w:val="004350C1"/>
    <w:rsid w:val="0059244F"/>
    <w:rsid w:val="005A7FB7"/>
    <w:rsid w:val="00621E3D"/>
    <w:rsid w:val="006E3904"/>
    <w:rsid w:val="00776935"/>
    <w:rsid w:val="008C3B87"/>
    <w:rsid w:val="00911A27"/>
    <w:rsid w:val="009B2E66"/>
    <w:rsid w:val="00A1197C"/>
    <w:rsid w:val="00A33986"/>
    <w:rsid w:val="00A348DA"/>
    <w:rsid w:val="00A96497"/>
    <w:rsid w:val="00AD1610"/>
    <w:rsid w:val="00B71918"/>
    <w:rsid w:val="00BE436D"/>
    <w:rsid w:val="00BF3DA5"/>
    <w:rsid w:val="00C565F0"/>
    <w:rsid w:val="00CF03B1"/>
    <w:rsid w:val="00CF6066"/>
    <w:rsid w:val="00D140FB"/>
    <w:rsid w:val="00FD14BF"/>
    <w:rsid w:val="00FF74D6"/>
    <w:rsid w:val="00FF781B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3D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621E3D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621E3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semiHidden/>
    <w:rsid w:val="00621E3D"/>
    <w:rPr>
      <w:color w:val="0000FF"/>
      <w:u w:val="single"/>
    </w:rPr>
  </w:style>
  <w:style w:type="paragraph" w:styleId="Corpsdetexte">
    <w:name w:val="Body Text"/>
    <w:basedOn w:val="Normal"/>
    <w:semiHidden/>
    <w:rsid w:val="00621E3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621E3D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621E3D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B7967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BB7967"/>
    <w:pPr>
      <w:jc w:val="right"/>
    </w:pPr>
    <w:rPr>
      <w:b/>
      <w:bCs/>
    </w:rPr>
  </w:style>
  <w:style w:type="character" w:customStyle="1" w:styleId="hps">
    <w:name w:val="hps"/>
    <w:basedOn w:val="Policepardfaut"/>
    <w:rsid w:val="00A96497"/>
  </w:style>
  <w:style w:type="character" w:styleId="Marquedannotation">
    <w:name w:val="annotation reference"/>
    <w:uiPriority w:val="99"/>
    <w:semiHidden/>
    <w:unhideWhenUsed/>
    <w:rsid w:val="00C56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5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5F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5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565F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B7967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BB7967"/>
    <w:pPr>
      <w:jc w:val="right"/>
    </w:pPr>
    <w:rPr>
      <w:b/>
      <w:bCs/>
    </w:rPr>
  </w:style>
  <w:style w:type="character" w:customStyle="1" w:styleId="hps">
    <w:name w:val="hps"/>
    <w:basedOn w:val="Policepardfaut"/>
    <w:rsid w:val="00A96497"/>
  </w:style>
  <w:style w:type="character" w:styleId="Marquedannotation">
    <w:name w:val="annotation reference"/>
    <w:uiPriority w:val="99"/>
    <w:semiHidden/>
    <w:unhideWhenUsed/>
    <w:rsid w:val="00C56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5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5F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5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56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cpatex@pasteur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2925</Characters>
  <Application>Microsoft Macintosh Word</Application>
  <DocSecurity>0</DocSecurity>
  <Lines>65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Actualités du Pharo</vt:lpstr>
    </vt:vector>
  </TitlesOfParts>
  <Company>Service de Santé des Armées</Company>
  <LinksUpToDate>false</LinksUpToDate>
  <CharactersWithSpaces>3722</CharactersWithSpaces>
  <SharedDoc>false</SharedDoc>
  <HLinks>
    <vt:vector size="12" baseType="variant"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mailto:socpatex@pasteur.fr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http://spe-smanlf-2013.sciencesconf.org/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subject/>
  <dc:creator>Gillet</dc:creator>
  <cp:keywords/>
  <cp:lastModifiedBy>Murielle HAMON</cp:lastModifiedBy>
  <cp:revision>2</cp:revision>
  <dcterms:created xsi:type="dcterms:W3CDTF">2013-09-08T16:26:00Z</dcterms:created>
  <dcterms:modified xsi:type="dcterms:W3CDTF">2013-09-08T16:26:00Z</dcterms:modified>
</cp:coreProperties>
</file>