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19" w:rsidRDefault="00133419">
      <w:pPr>
        <w:jc w:val="center"/>
        <w:rPr>
          <w:rFonts w:ascii="Calibri" w:hAnsi="Calibri" w:cs="Arial"/>
          <w:b/>
          <w:bCs/>
          <w:sz w:val="28"/>
        </w:rPr>
      </w:pPr>
      <w:bookmarkStart w:id="0" w:name="_GoBack"/>
      <w:bookmarkEnd w:id="0"/>
    </w:p>
    <w:p w:rsidR="00133419" w:rsidRPr="007015A7" w:rsidRDefault="00133419" w:rsidP="00133419">
      <w:pPr>
        <w:jc w:val="center"/>
        <w:rPr>
          <w:rFonts w:ascii="Calibri" w:hAnsi="Calibri" w:cs="Arial"/>
          <w:sz w:val="22"/>
          <w:szCs w:val="22"/>
        </w:rPr>
      </w:pPr>
      <w:r w:rsidRPr="007015A7">
        <w:rPr>
          <w:rFonts w:ascii="Calibri" w:hAnsi="Calibri" w:cs="Arial"/>
          <w:sz w:val="22"/>
          <w:szCs w:val="22"/>
        </w:rPr>
        <w:t xml:space="preserve">Les propositions de communication comprenant le résumé (400 mots maximum) doivent parvenir </w:t>
      </w:r>
    </w:p>
    <w:p w:rsidR="00133419" w:rsidRPr="007015A7" w:rsidRDefault="00133419" w:rsidP="00133419">
      <w:pPr>
        <w:jc w:val="center"/>
        <w:rPr>
          <w:rFonts w:ascii="Calibri" w:hAnsi="Calibri" w:cs="Arial"/>
          <w:sz w:val="22"/>
          <w:szCs w:val="22"/>
        </w:rPr>
      </w:pPr>
      <w:proofErr w:type="gramStart"/>
      <w:r w:rsidRPr="007015A7">
        <w:rPr>
          <w:rFonts w:ascii="Calibri" w:hAnsi="Calibri" w:cs="Arial"/>
          <w:b/>
          <w:bCs/>
          <w:sz w:val="22"/>
          <w:szCs w:val="22"/>
        </w:rPr>
        <w:t>par</w:t>
      </w:r>
      <w:proofErr w:type="gramEnd"/>
      <w:r w:rsidRPr="007015A7">
        <w:rPr>
          <w:rFonts w:ascii="Calibri" w:hAnsi="Calibri" w:cs="Arial"/>
          <w:b/>
          <w:bCs/>
          <w:sz w:val="22"/>
          <w:szCs w:val="22"/>
        </w:rPr>
        <w:t xml:space="preserve"> courrier électronique à</w:t>
      </w:r>
    </w:p>
    <w:p w:rsidR="00133419" w:rsidRPr="007015A7" w:rsidRDefault="00133419" w:rsidP="00133419">
      <w:pPr>
        <w:jc w:val="center"/>
        <w:rPr>
          <w:rFonts w:ascii="Calibri" w:hAnsi="Calibri" w:cs="Arial"/>
          <w:b/>
          <w:bCs/>
          <w:sz w:val="22"/>
          <w:szCs w:val="22"/>
        </w:rPr>
      </w:pPr>
      <w:hyperlink r:id="rId8" w:history="1">
        <w:r w:rsidRPr="007015A7">
          <w:rPr>
            <w:rStyle w:val="Lienhypertexte"/>
            <w:rFonts w:ascii="Calibri" w:hAnsi="Calibri" w:cs="Arial"/>
            <w:b/>
            <w:sz w:val="22"/>
            <w:szCs w:val="22"/>
          </w:rPr>
          <w:t>socpatex@pasteur.fr</w:t>
        </w:r>
      </w:hyperlink>
      <w:r w:rsidRPr="007015A7">
        <w:rPr>
          <w:rFonts w:ascii="Calibri" w:hAnsi="Calibri" w:cs="Arial"/>
          <w:b/>
          <w:sz w:val="22"/>
          <w:szCs w:val="22"/>
        </w:rPr>
        <w:t xml:space="preserve"> </w:t>
      </w:r>
      <w:r w:rsidRPr="007015A7">
        <w:rPr>
          <w:rFonts w:ascii="Calibri" w:hAnsi="Calibri" w:cs="Arial"/>
          <w:b/>
          <w:bCs/>
          <w:sz w:val="22"/>
          <w:szCs w:val="22"/>
        </w:rPr>
        <w:t>avant le 4 septembre 2013</w:t>
      </w:r>
    </w:p>
    <w:p w:rsidR="00133419" w:rsidRPr="00F72B5E" w:rsidRDefault="00133419">
      <w:pPr>
        <w:jc w:val="center"/>
        <w:rPr>
          <w:rFonts w:ascii="Calibri" w:hAnsi="Calibri" w:cs="Arial"/>
          <w:b/>
          <w:bCs/>
          <w:sz w:val="28"/>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1"/>
      </w:tblGrid>
      <w:tr w:rsidR="00133419" w:rsidRPr="00F72B5E">
        <w:tblPrEx>
          <w:tblCellMar>
            <w:top w:w="0" w:type="dxa"/>
            <w:bottom w:w="0" w:type="dxa"/>
          </w:tblCellMar>
        </w:tblPrEx>
        <w:trPr>
          <w:trHeight w:val="1186"/>
        </w:trPr>
        <w:tc>
          <w:tcPr>
            <w:tcW w:w="9091" w:type="dxa"/>
          </w:tcPr>
          <w:p w:rsidR="00133419" w:rsidRPr="009A235A" w:rsidRDefault="00133419" w:rsidP="00133419">
            <w:pPr>
              <w:jc w:val="both"/>
              <w:rPr>
                <w:rFonts w:ascii="Calibri" w:hAnsi="Calibri" w:cs="Arial"/>
                <w:b/>
                <w:bCs/>
                <w:color w:val="800000"/>
              </w:rPr>
            </w:pPr>
            <w:r w:rsidRPr="00F72B5E">
              <w:rPr>
                <w:rFonts w:ascii="Calibri" w:hAnsi="Calibri" w:cs="Arial"/>
                <w:b/>
                <w:bCs/>
                <w:color w:val="800000"/>
              </w:rPr>
              <w:t>Titre de la communication :</w:t>
            </w:r>
            <w:r w:rsidR="000B0A18">
              <w:rPr>
                <w:rFonts w:ascii="Calibri" w:hAnsi="Calibri" w:cs="Arial"/>
                <w:b/>
                <w:bCs/>
                <w:color w:val="800000"/>
              </w:rPr>
              <w:t xml:space="preserve"> </w:t>
            </w:r>
            <w:r w:rsidR="000B0A18" w:rsidRPr="0043078A">
              <w:rPr>
                <w:b/>
              </w:rPr>
              <w:t xml:space="preserve">Etude des cas de premières infections palustres </w:t>
            </w:r>
            <w:r w:rsidR="000B0A18">
              <w:rPr>
                <w:b/>
              </w:rPr>
              <w:t xml:space="preserve">observés </w:t>
            </w:r>
            <w:r w:rsidR="000B0A18" w:rsidRPr="0043078A">
              <w:rPr>
                <w:b/>
              </w:rPr>
              <w:t>chez</w:t>
            </w:r>
            <w:r w:rsidR="000B0A18">
              <w:rPr>
                <w:b/>
              </w:rPr>
              <w:t xml:space="preserve"> les nourrissons à Dielmo, Séné</w:t>
            </w:r>
            <w:r w:rsidR="000B0A18" w:rsidRPr="0043078A">
              <w:rPr>
                <w:b/>
              </w:rPr>
              <w:t>gal</w:t>
            </w:r>
          </w:p>
        </w:tc>
      </w:tr>
      <w:tr w:rsidR="00133419" w:rsidRPr="00F72B5E">
        <w:tblPrEx>
          <w:tblCellMar>
            <w:top w:w="0" w:type="dxa"/>
            <w:bottom w:w="0" w:type="dxa"/>
          </w:tblCellMar>
        </w:tblPrEx>
        <w:trPr>
          <w:trHeight w:val="523"/>
        </w:trPr>
        <w:tc>
          <w:tcPr>
            <w:tcW w:w="9091" w:type="dxa"/>
          </w:tcPr>
          <w:p w:rsidR="00133419" w:rsidRPr="007015A7" w:rsidRDefault="00133419" w:rsidP="00133419">
            <w:pPr>
              <w:widowControl w:val="0"/>
              <w:autoSpaceDE w:val="0"/>
              <w:autoSpaceDN w:val="0"/>
              <w:adjustRightInd w:val="0"/>
              <w:spacing w:before="35"/>
              <w:ind w:right="250"/>
              <w:jc w:val="both"/>
              <w:rPr>
                <w:rFonts w:ascii="Calibri" w:hAnsi="Calibri" w:cs="Arial"/>
                <w:b/>
                <w:bCs/>
                <w:color w:val="800000"/>
              </w:rPr>
            </w:pPr>
            <w:r w:rsidRPr="007015A7">
              <w:rPr>
                <w:rFonts w:ascii="Calibri" w:hAnsi="Calibri" w:cs="Arial"/>
                <w:b/>
                <w:bCs/>
                <w:color w:val="800000"/>
              </w:rPr>
              <w:t xml:space="preserve">Mots clefs (5 maximum) : </w:t>
            </w:r>
            <w:r w:rsidR="00FD6F33">
              <w:rPr>
                <w:rFonts w:ascii="Calibri" w:hAnsi="Calibri" w:cs="Arial"/>
                <w:b/>
                <w:bCs/>
              </w:rPr>
              <w:t xml:space="preserve">nourrissons, parasitémies, </w:t>
            </w:r>
            <w:r w:rsidR="000B0A18" w:rsidRPr="00C56EB5">
              <w:rPr>
                <w:rFonts w:ascii="Calibri" w:hAnsi="Calibri" w:cs="Arial"/>
                <w:b/>
                <w:bCs/>
              </w:rPr>
              <w:t xml:space="preserve">paludisme, </w:t>
            </w:r>
            <w:r w:rsidR="00BA7677">
              <w:rPr>
                <w:rFonts w:ascii="Calibri" w:hAnsi="Calibri" w:cs="Arial"/>
                <w:b/>
                <w:bCs/>
              </w:rPr>
              <w:t xml:space="preserve">Dielmo, </w:t>
            </w:r>
            <w:r w:rsidR="000B0A18" w:rsidRPr="00C56EB5">
              <w:rPr>
                <w:rFonts w:ascii="Calibri" w:hAnsi="Calibri" w:cs="Arial"/>
                <w:b/>
                <w:bCs/>
              </w:rPr>
              <w:t>Sénégal</w:t>
            </w:r>
          </w:p>
          <w:p w:rsidR="00133419" w:rsidRPr="00F72B5E" w:rsidRDefault="00133419" w:rsidP="00133419">
            <w:pPr>
              <w:widowControl w:val="0"/>
              <w:autoSpaceDE w:val="0"/>
              <w:autoSpaceDN w:val="0"/>
              <w:adjustRightInd w:val="0"/>
              <w:spacing w:before="35"/>
              <w:ind w:right="250"/>
              <w:jc w:val="both"/>
              <w:rPr>
                <w:rFonts w:ascii="Calibri" w:hAnsi="Calibri" w:cs="Arial"/>
              </w:rPr>
            </w:pPr>
          </w:p>
        </w:tc>
      </w:tr>
      <w:tr w:rsidR="00133419" w:rsidRPr="00F72B5E">
        <w:tblPrEx>
          <w:tblCellMar>
            <w:top w:w="0" w:type="dxa"/>
            <w:bottom w:w="0" w:type="dxa"/>
          </w:tblCellMar>
        </w:tblPrEx>
        <w:trPr>
          <w:trHeight w:val="941"/>
        </w:trPr>
        <w:tc>
          <w:tcPr>
            <w:tcW w:w="9091" w:type="dxa"/>
          </w:tcPr>
          <w:p w:rsidR="00133419" w:rsidRPr="00F72B5E" w:rsidRDefault="00133419" w:rsidP="00133419">
            <w:pPr>
              <w:jc w:val="both"/>
              <w:rPr>
                <w:rFonts w:ascii="Calibri" w:hAnsi="Calibri" w:cs="Arial"/>
                <w:b/>
                <w:bCs/>
                <w:color w:val="800000"/>
              </w:rPr>
            </w:pPr>
            <w:r w:rsidRPr="00F72B5E">
              <w:rPr>
                <w:rFonts w:ascii="Calibri" w:hAnsi="Calibri" w:cs="Arial"/>
                <w:b/>
                <w:bCs/>
                <w:color w:val="800000"/>
              </w:rPr>
              <w:t>Proposée en (cocher la case) :</w:t>
            </w:r>
          </w:p>
          <w:p w:rsidR="00133419" w:rsidRPr="00F72B5E" w:rsidRDefault="000B0A18" w:rsidP="00133419">
            <w:pPr>
              <w:ind w:left="3600"/>
              <w:jc w:val="both"/>
              <w:rPr>
                <w:rFonts w:ascii="Calibri" w:hAnsi="Calibri" w:cs="Arial"/>
              </w:rPr>
            </w:pPr>
            <w:r>
              <w:rPr>
                <w:rFonts w:ascii="Calibri" w:hAnsi="Calibri" w:cs="Arial"/>
              </w:rPr>
              <w:t>x</w:t>
            </w:r>
            <w:r w:rsidR="00133419">
              <w:rPr>
                <w:rFonts w:ascii="Calibri" w:hAnsi="Calibri" w:cs="Arial"/>
              </w:rPr>
              <w:sym w:font="Wingdings" w:char="F0A6"/>
            </w:r>
            <w:r w:rsidR="00133419">
              <w:rPr>
                <w:rFonts w:ascii="Calibri" w:hAnsi="Calibri" w:cs="Arial"/>
              </w:rPr>
              <w:t xml:space="preserve"> </w:t>
            </w:r>
            <w:r w:rsidR="00133419" w:rsidRPr="00F72B5E">
              <w:rPr>
                <w:rFonts w:ascii="Calibri" w:hAnsi="Calibri" w:cs="Arial"/>
              </w:rPr>
              <w:t>Communication orale</w:t>
            </w:r>
          </w:p>
          <w:p w:rsidR="00133419" w:rsidRDefault="00133419" w:rsidP="00133419">
            <w:pPr>
              <w:ind w:left="3600"/>
              <w:jc w:val="both"/>
              <w:rPr>
                <w:rFonts w:ascii="Calibri" w:hAnsi="Calibri" w:cs="Arial"/>
              </w:rPr>
            </w:pPr>
            <w:r>
              <w:rPr>
                <w:rFonts w:ascii="Calibri" w:hAnsi="Calibri" w:cs="Arial"/>
              </w:rPr>
              <w:sym w:font="Wingdings" w:char="F0A6"/>
            </w:r>
            <w:r>
              <w:rPr>
                <w:rFonts w:ascii="Calibri" w:hAnsi="Calibri" w:cs="Arial"/>
              </w:rPr>
              <w:t xml:space="preserve"> </w:t>
            </w:r>
            <w:r w:rsidRPr="00F72B5E">
              <w:rPr>
                <w:rFonts w:ascii="Calibri" w:hAnsi="Calibri" w:cs="Arial"/>
              </w:rPr>
              <w:t>Communication affichée</w:t>
            </w:r>
          </w:p>
          <w:p w:rsidR="00133419" w:rsidRPr="00F72B5E" w:rsidRDefault="00133419" w:rsidP="00133419">
            <w:pPr>
              <w:jc w:val="both"/>
              <w:rPr>
                <w:rFonts w:ascii="Calibri" w:hAnsi="Calibri" w:cs="Arial"/>
              </w:rPr>
            </w:pPr>
          </w:p>
        </w:tc>
      </w:tr>
      <w:tr w:rsidR="00133419" w:rsidRPr="00F72B5E">
        <w:tblPrEx>
          <w:tblCellMar>
            <w:top w:w="0" w:type="dxa"/>
            <w:bottom w:w="0" w:type="dxa"/>
          </w:tblCellMar>
        </w:tblPrEx>
        <w:trPr>
          <w:trHeight w:val="941"/>
        </w:trPr>
        <w:tc>
          <w:tcPr>
            <w:tcW w:w="9091" w:type="dxa"/>
          </w:tcPr>
          <w:p w:rsidR="00133419" w:rsidRDefault="00133419" w:rsidP="00133419">
            <w:pPr>
              <w:jc w:val="both"/>
              <w:rPr>
                <w:rFonts w:ascii="Calibri" w:hAnsi="Calibri" w:cs="Arial"/>
                <w:b/>
                <w:bCs/>
                <w:color w:val="800000"/>
              </w:rPr>
            </w:pPr>
            <w:r>
              <w:rPr>
                <w:rFonts w:ascii="Calibri" w:hAnsi="Calibri" w:cs="Arial"/>
                <w:b/>
                <w:bCs/>
                <w:color w:val="800000"/>
              </w:rPr>
              <w:t>Communication proposée dans la session </w:t>
            </w:r>
            <w:r w:rsidRPr="00F72B5E">
              <w:rPr>
                <w:rFonts w:ascii="Calibri" w:hAnsi="Calibri" w:cs="Arial"/>
                <w:b/>
                <w:bCs/>
                <w:color w:val="800000"/>
              </w:rPr>
              <w:t>(cocher la case) :</w:t>
            </w:r>
          </w:p>
          <w:p w:rsidR="00133419" w:rsidRDefault="000B0A18" w:rsidP="00133419">
            <w:pPr>
              <w:ind w:left="1800"/>
              <w:jc w:val="both"/>
              <w:rPr>
                <w:rFonts w:ascii="Calibri" w:hAnsi="Calibri"/>
              </w:rPr>
            </w:pPr>
            <w:r>
              <w:rPr>
                <w:rFonts w:ascii="Calibri" w:hAnsi="Calibri" w:cs="Arial"/>
              </w:rPr>
              <w:t>x</w:t>
            </w:r>
            <w:r w:rsidR="00133419">
              <w:rPr>
                <w:rFonts w:ascii="Calibri" w:hAnsi="Calibri" w:cs="Arial"/>
              </w:rPr>
              <w:sym w:font="Wingdings" w:char="F0A6"/>
            </w:r>
            <w:r w:rsidR="00133419">
              <w:rPr>
                <w:rFonts w:ascii="Calibri" w:hAnsi="Calibri" w:cs="Arial"/>
              </w:rPr>
              <w:t xml:space="preserve"> </w:t>
            </w:r>
            <w:r w:rsidR="00133419" w:rsidRPr="00F72B5E">
              <w:rPr>
                <w:rFonts w:ascii="Calibri" w:hAnsi="Calibri"/>
              </w:rPr>
              <w:t>Paludisme et autres maladies parasitaires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Fièvres émergentes - m</w:t>
            </w:r>
            <w:r w:rsidRPr="00F72B5E">
              <w:rPr>
                <w:rFonts w:ascii="Calibri" w:hAnsi="Calibri"/>
              </w:rPr>
              <w:t>aladies infectieuses tropicales négligées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nutritionnelles et diabète</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cardiovasculaires et complications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sidRPr="00F72B5E">
              <w:rPr>
                <w:rFonts w:ascii="Calibri" w:hAnsi="Calibri" w:cs="Arial"/>
                <w:color w:val="000000"/>
              </w:rPr>
              <w:t>Epilepsies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Pr>
                <w:rFonts w:ascii="Calibri" w:hAnsi="Calibri" w:cs="Arial"/>
                <w:color w:val="000000"/>
              </w:rPr>
              <w:t>Mycoses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w:t>
            </w:r>
            <w:r w:rsidRPr="00F72B5E">
              <w:rPr>
                <w:rFonts w:ascii="Calibri" w:hAnsi="Calibri"/>
              </w:rPr>
              <w:t>ccès aux soins</w:t>
            </w:r>
            <w:r>
              <w:rPr>
                <w:rFonts w:ascii="Calibri" w:hAnsi="Calibri"/>
              </w:rPr>
              <w:t xml:space="preserve"> - </w:t>
            </w:r>
            <w:r w:rsidRPr="00F72B5E">
              <w:rPr>
                <w:rFonts w:ascii="Calibri" w:hAnsi="Calibri"/>
              </w:rPr>
              <w:t>Prise en charge VIH et sida</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F</w:t>
            </w:r>
            <w:r w:rsidRPr="007015A7">
              <w:rPr>
                <w:rFonts w:ascii="Calibri" w:hAnsi="Calibri"/>
              </w:rPr>
              <w:t>inancement de la santé</w:t>
            </w:r>
            <w:r>
              <w:rPr>
                <w:rFonts w:ascii="Calibri" w:hAnsi="Calibri"/>
              </w:rPr>
              <w:t xml:space="preserve"> - R</w:t>
            </w:r>
            <w:r w:rsidRPr="007015A7">
              <w:rPr>
                <w:rFonts w:ascii="Calibri" w:hAnsi="Calibri"/>
              </w:rPr>
              <w:t>essources humaines</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Anthropologie de la santé</w:t>
            </w:r>
          </w:p>
        </w:tc>
      </w:tr>
      <w:tr w:rsidR="00133419" w:rsidRPr="00F72B5E">
        <w:tblPrEx>
          <w:tblCellMar>
            <w:top w:w="0" w:type="dxa"/>
            <w:bottom w:w="0" w:type="dxa"/>
          </w:tblCellMar>
        </w:tblPrEx>
        <w:trPr>
          <w:trHeight w:val="612"/>
        </w:trPr>
        <w:tc>
          <w:tcPr>
            <w:tcW w:w="9091" w:type="dxa"/>
          </w:tcPr>
          <w:p w:rsidR="00133419" w:rsidRPr="009A235A" w:rsidRDefault="00133419" w:rsidP="00FD6F33">
            <w:pPr>
              <w:jc w:val="both"/>
              <w:rPr>
                <w:rFonts w:ascii="Calibri" w:hAnsi="Calibri" w:cs="Arial"/>
                <w:b/>
                <w:bCs/>
                <w:color w:val="800000"/>
              </w:rPr>
            </w:pPr>
            <w:r w:rsidRPr="00F72B5E">
              <w:rPr>
                <w:rFonts w:ascii="Calibri" w:hAnsi="Calibri" w:cs="Arial"/>
                <w:b/>
                <w:bCs/>
                <w:color w:val="800000"/>
              </w:rPr>
              <w:t>Auteurs (noms/prénoms) :</w:t>
            </w:r>
            <w:r w:rsidR="000B0A18">
              <w:rPr>
                <w:rFonts w:cs="Arial"/>
                <w:sz w:val="20"/>
                <w:szCs w:val="20"/>
                <w:u w:val="single"/>
              </w:rPr>
              <w:t xml:space="preserve"> Nafissatou </w:t>
            </w:r>
            <w:r w:rsidR="000B0A18" w:rsidRPr="00354D22">
              <w:rPr>
                <w:rFonts w:cs="Arial"/>
                <w:sz w:val="20"/>
                <w:szCs w:val="20"/>
                <w:u w:val="single"/>
              </w:rPr>
              <w:t>Diagne</w:t>
            </w:r>
            <w:r w:rsidR="000B0A18" w:rsidRPr="00354D22">
              <w:rPr>
                <w:rFonts w:cs="Arial"/>
                <w:sz w:val="20"/>
                <w:szCs w:val="20"/>
              </w:rPr>
              <w:t>, Cheikh Sokhna, Adama Tall , Alioune B Ly, Abdoulaye Badiane, Fambaye Dieye, Joseph Faye, A</w:t>
            </w:r>
            <w:r w:rsidR="00FD6F33">
              <w:rPr>
                <w:rFonts w:cs="Arial"/>
                <w:sz w:val="20"/>
                <w:szCs w:val="20"/>
              </w:rPr>
              <w:t>ndré Spiegel, Christophe Rogier et</w:t>
            </w:r>
            <w:r w:rsidR="000B0A18" w:rsidRPr="00354D22">
              <w:rPr>
                <w:rFonts w:cs="Arial"/>
                <w:sz w:val="20"/>
                <w:szCs w:val="20"/>
              </w:rPr>
              <w:t xml:space="preserve"> Jean F Trape</w:t>
            </w:r>
            <w:r w:rsidRPr="00F72B5E">
              <w:rPr>
                <w:rFonts w:ascii="Calibri" w:hAnsi="Calibri" w:cs="Arial"/>
                <w:b/>
                <w:bCs/>
                <w:color w:val="800000"/>
              </w:rPr>
              <w:t xml:space="preserve"> </w:t>
            </w:r>
          </w:p>
        </w:tc>
      </w:tr>
      <w:tr w:rsidR="00133419" w:rsidRPr="00F72B5E">
        <w:tblPrEx>
          <w:tblCellMar>
            <w:top w:w="0" w:type="dxa"/>
            <w:bottom w:w="0" w:type="dxa"/>
          </w:tblCellMar>
        </w:tblPrEx>
        <w:trPr>
          <w:trHeight w:val="989"/>
        </w:trPr>
        <w:tc>
          <w:tcPr>
            <w:tcW w:w="9091" w:type="dxa"/>
          </w:tcPr>
          <w:p w:rsidR="00133419" w:rsidRPr="009A235A" w:rsidRDefault="00133419">
            <w:pPr>
              <w:jc w:val="both"/>
              <w:rPr>
                <w:rFonts w:ascii="Calibri" w:hAnsi="Calibri" w:cs="Arial"/>
                <w:b/>
                <w:bCs/>
                <w:color w:val="800000"/>
              </w:rPr>
            </w:pPr>
            <w:r w:rsidRPr="00F72B5E">
              <w:rPr>
                <w:rFonts w:ascii="Calibri" w:hAnsi="Calibri" w:cs="Arial"/>
                <w:b/>
                <w:bCs/>
                <w:color w:val="800000"/>
              </w:rPr>
              <w:t>Adresse de correspondance de l’auteur responsable (et affiliation) :</w:t>
            </w:r>
            <w:r w:rsidR="00FE1D1F" w:rsidRPr="00535DF9">
              <w:rPr>
                <w:i/>
              </w:rPr>
              <w:t xml:space="preserve"> URMITE, UMR CNRS 6236 - IRD 198 - Aix Marseille Université, Campus Universitaire IRD de Hann, BP 1386 CP 18524 Dakar, Sénégal</w:t>
            </w:r>
          </w:p>
          <w:p w:rsidR="00133419" w:rsidRPr="00F72B5E" w:rsidRDefault="00133419" w:rsidP="00133419">
            <w:pPr>
              <w:ind w:left="777"/>
              <w:rPr>
                <w:rFonts w:ascii="Calibri" w:hAnsi="Calibri" w:cs="Arial"/>
              </w:rPr>
            </w:pPr>
          </w:p>
        </w:tc>
      </w:tr>
      <w:tr w:rsidR="00133419" w:rsidRPr="00F72B5E">
        <w:tblPrEx>
          <w:tblCellMar>
            <w:top w:w="0" w:type="dxa"/>
            <w:bottom w:w="0" w:type="dxa"/>
          </w:tblCellMar>
        </w:tblPrEx>
        <w:trPr>
          <w:trHeight w:val="1613"/>
        </w:trPr>
        <w:tc>
          <w:tcPr>
            <w:tcW w:w="9091" w:type="dxa"/>
          </w:tcPr>
          <w:p w:rsidR="00133419" w:rsidRPr="00947344" w:rsidRDefault="00133419" w:rsidP="00133419">
            <w:pPr>
              <w:jc w:val="both"/>
              <w:rPr>
                <w:rFonts w:ascii="Calibri" w:hAnsi="Calibri" w:cs="Arial"/>
                <w:b/>
                <w:bCs/>
                <w:color w:val="800000"/>
              </w:rPr>
            </w:pPr>
            <w:r w:rsidRPr="00947344">
              <w:rPr>
                <w:rFonts w:ascii="Calibri" w:hAnsi="Calibri" w:cs="Arial"/>
                <w:b/>
                <w:bCs/>
                <w:color w:val="800000"/>
              </w:rPr>
              <w:t xml:space="preserve">Adresse électronique : </w:t>
            </w:r>
            <w:r w:rsidR="00FE1D1F" w:rsidRPr="009272F8">
              <w:rPr>
                <w:rFonts w:ascii="Calibri" w:hAnsi="Calibri" w:cs="Arial"/>
                <w:b/>
                <w:bCs/>
              </w:rPr>
              <w:t>nafissatou.diagne@ird.fr</w:t>
            </w:r>
          </w:p>
          <w:p w:rsidR="00133419" w:rsidRPr="00947344" w:rsidRDefault="00133419" w:rsidP="00133419">
            <w:pPr>
              <w:jc w:val="both"/>
              <w:rPr>
                <w:rFonts w:ascii="Calibri" w:hAnsi="Calibri"/>
                <w:b/>
                <w:bCs/>
                <w:color w:val="800000"/>
              </w:rPr>
            </w:pPr>
          </w:p>
          <w:p w:rsidR="00133419" w:rsidRPr="00F72B5E" w:rsidRDefault="00133419" w:rsidP="00133419">
            <w:pPr>
              <w:jc w:val="both"/>
              <w:rPr>
                <w:rFonts w:ascii="Calibri" w:hAnsi="Calibri" w:cs="Arial"/>
              </w:rPr>
            </w:pPr>
            <w:r w:rsidRPr="00947344">
              <w:rPr>
                <w:rFonts w:ascii="Calibri" w:hAnsi="Calibri" w:cs="Arial"/>
                <w:b/>
                <w:bCs/>
                <w:color w:val="800000"/>
              </w:rPr>
              <w:t>Téléphone :</w:t>
            </w:r>
            <w:r w:rsidR="009272F8">
              <w:rPr>
                <w:rFonts w:ascii="Calibri" w:hAnsi="Calibri" w:cs="Arial"/>
                <w:b/>
                <w:bCs/>
                <w:color w:val="800000"/>
              </w:rPr>
              <w:t xml:space="preserve"> </w:t>
            </w:r>
            <w:r w:rsidR="00FE1D1F" w:rsidRPr="009272F8">
              <w:rPr>
                <w:rFonts w:ascii="Calibri" w:hAnsi="Calibri" w:cs="Arial"/>
                <w:b/>
                <w:bCs/>
              </w:rPr>
              <w:t>00 221 338493598</w:t>
            </w:r>
          </w:p>
        </w:tc>
      </w:tr>
      <w:tr w:rsidR="00133419" w:rsidRPr="00F72B5E" w:rsidTr="00FD6F33">
        <w:tblPrEx>
          <w:tblCellMar>
            <w:top w:w="0" w:type="dxa"/>
            <w:bottom w:w="0" w:type="dxa"/>
          </w:tblCellMar>
        </w:tblPrEx>
        <w:trPr>
          <w:trHeight w:val="9365"/>
        </w:trPr>
        <w:tc>
          <w:tcPr>
            <w:tcW w:w="9091" w:type="dxa"/>
          </w:tcPr>
          <w:p w:rsidR="00133419" w:rsidRPr="00F72B5E" w:rsidRDefault="00133419">
            <w:pPr>
              <w:jc w:val="both"/>
              <w:rPr>
                <w:rFonts w:ascii="Calibri" w:hAnsi="Calibri" w:cs="Arial"/>
              </w:rPr>
            </w:pPr>
            <w:r w:rsidRPr="00F72B5E">
              <w:rPr>
                <w:rFonts w:ascii="Calibri" w:hAnsi="Calibri" w:cs="Arial"/>
              </w:rPr>
              <w:lastRenderedPageBreak/>
              <w:t>Résumé en français (400 mots maximum) :</w:t>
            </w:r>
          </w:p>
          <w:p w:rsidR="00E05263" w:rsidRPr="0043078A" w:rsidRDefault="00E05263" w:rsidP="00E05263">
            <w:pPr>
              <w:jc w:val="both"/>
              <w:rPr>
                <w:b/>
              </w:rPr>
            </w:pPr>
            <w:r w:rsidRPr="0043078A">
              <w:rPr>
                <w:b/>
              </w:rPr>
              <w:t>Introduction</w:t>
            </w:r>
          </w:p>
          <w:p w:rsidR="00E05263" w:rsidRPr="00331B0B" w:rsidRDefault="00E05263" w:rsidP="00E05263">
            <w:pPr>
              <w:jc w:val="both"/>
            </w:pPr>
            <w:r w:rsidRPr="00331B0B">
              <w:t>Dans les zones de forte endémie palustre, le</w:t>
            </w:r>
            <w:r>
              <w:t>s premières infections</w:t>
            </w:r>
            <w:r w:rsidRPr="00331B0B">
              <w:t xml:space="preserve"> apparaissent au cours de la petite enfance. Mais l’évolution de l</w:t>
            </w:r>
            <w:r>
              <w:t>’incidence et de la sévérité des infections palustres chez les nourrissons</w:t>
            </w:r>
            <w:r w:rsidRPr="00331B0B">
              <w:t xml:space="preserve"> </w:t>
            </w:r>
            <w:proofErr w:type="gramStart"/>
            <w:r w:rsidRPr="00331B0B">
              <w:t>sont</w:t>
            </w:r>
            <w:proofErr w:type="gramEnd"/>
            <w:r w:rsidRPr="00331B0B">
              <w:t xml:space="preserve"> mal connues. </w:t>
            </w:r>
          </w:p>
          <w:p w:rsidR="00E05263" w:rsidRPr="0043078A" w:rsidRDefault="00E05263" w:rsidP="00E05263">
            <w:pPr>
              <w:jc w:val="both"/>
              <w:rPr>
                <w:b/>
              </w:rPr>
            </w:pPr>
            <w:r w:rsidRPr="0043078A">
              <w:rPr>
                <w:b/>
              </w:rPr>
              <w:t>Méthodes</w:t>
            </w:r>
          </w:p>
          <w:p w:rsidR="00E05263" w:rsidRPr="00354D22" w:rsidRDefault="00E05263" w:rsidP="00E05263">
            <w:pPr>
              <w:jc w:val="both"/>
            </w:pPr>
            <w:r w:rsidRPr="00331B0B">
              <w:t xml:space="preserve">De </w:t>
            </w:r>
            <w:r>
              <w:t xml:space="preserve">juin </w:t>
            </w:r>
            <w:r w:rsidRPr="00331B0B">
              <w:t xml:space="preserve">1990 à </w:t>
            </w:r>
            <w:r>
              <w:t>décembre 2012</w:t>
            </w:r>
            <w:r w:rsidRPr="00331B0B">
              <w:t xml:space="preserve">, nous avons mené un suivi actif quotidien de la morbidité palustre à Dielmo, Sénégal. Les enfants ont été inclus dans l’étude dès la naissance et des gouttes épaisses ont été effectuées deux fois par mois jusqu’à l’âge de six mois et au cours des épisodes fébriles. Les accès palustres ont été traités avec de la quinine par voie orale (1990-1994), la chloroquine (1995-2003), </w:t>
            </w:r>
            <w:r>
              <w:t>la sulfadoxine-p</w:t>
            </w:r>
            <w:r w:rsidRPr="00331B0B">
              <w:t>yriméthamine + amodiaquine (2004-2006) ou l’artesunate + amodiaquine (depuis juin 2006). En juillet 2008, des moustiquaires imprégnées d’insecticide à longue durée d’</w:t>
            </w:r>
            <w:r>
              <w:t xml:space="preserve">action </w:t>
            </w:r>
            <w:r w:rsidRPr="00331B0B">
              <w:t>ont été introduites</w:t>
            </w:r>
            <w:r>
              <w:t xml:space="preserve"> puis renouvelées en 2011.</w:t>
            </w:r>
            <w:r w:rsidRPr="00331B0B">
              <w:t xml:space="preserve"> </w:t>
            </w:r>
          </w:p>
          <w:p w:rsidR="00E05263" w:rsidRPr="0043078A" w:rsidRDefault="00E05263" w:rsidP="00E05263">
            <w:pPr>
              <w:rPr>
                <w:b/>
              </w:rPr>
            </w:pPr>
            <w:r w:rsidRPr="0043078A">
              <w:rPr>
                <w:b/>
              </w:rPr>
              <w:t>Résultats</w:t>
            </w:r>
          </w:p>
          <w:p w:rsidR="00E05263" w:rsidRDefault="00E05263" w:rsidP="00E05263">
            <w:pPr>
              <w:jc w:val="both"/>
            </w:pPr>
            <w:r>
              <w:t>Durant la période de l’étude, 220</w:t>
            </w:r>
            <w:r w:rsidRPr="0043078A">
              <w:t xml:space="preserve"> nourrissons</w:t>
            </w:r>
            <w:r>
              <w:t xml:space="preserve"> ont été suivis régulièrement et </w:t>
            </w:r>
            <w:r w:rsidRPr="0043078A">
              <w:t xml:space="preserve">ont </w:t>
            </w:r>
            <w:r>
              <w:t>présenté un total de</w:t>
            </w:r>
            <w:r w:rsidRPr="0043078A">
              <w:t xml:space="preserve"> </w:t>
            </w:r>
            <w:r>
              <w:t>251</w:t>
            </w:r>
            <w:r w:rsidRPr="0011422B">
              <w:t xml:space="preserve"> accès palustres (</w:t>
            </w:r>
            <w:r w:rsidRPr="0011422B">
              <w:rPr>
                <w:i/>
              </w:rPr>
              <w:t>P</w:t>
            </w:r>
            <w:r w:rsidR="00CD41DE">
              <w:rPr>
                <w:i/>
              </w:rPr>
              <w:t>lasmodium</w:t>
            </w:r>
            <w:r w:rsidRPr="0011422B">
              <w:rPr>
                <w:i/>
              </w:rPr>
              <w:t xml:space="preserve"> falciparum</w:t>
            </w:r>
            <w:r w:rsidRPr="0011422B">
              <w:t xml:space="preserve"> : </w:t>
            </w:r>
            <w:r>
              <w:t>238</w:t>
            </w:r>
            <w:r w:rsidRPr="0011422B">
              <w:t xml:space="preserve">, </w:t>
            </w:r>
            <w:r w:rsidRPr="0011422B">
              <w:rPr>
                <w:i/>
              </w:rPr>
              <w:t>P. malariae</w:t>
            </w:r>
            <w:r w:rsidRPr="0011422B">
              <w:t xml:space="preserve"> : 10 et </w:t>
            </w:r>
            <w:r w:rsidRPr="0011422B">
              <w:rPr>
                <w:i/>
              </w:rPr>
              <w:t>P. ovale</w:t>
            </w:r>
            <w:r w:rsidRPr="0011422B">
              <w:t xml:space="preserve"> : 3). </w:t>
            </w:r>
            <w:r w:rsidRPr="00331B0B">
              <w:t xml:space="preserve">Ces accès palustres, à l’exception de </w:t>
            </w:r>
            <w:r w:rsidRPr="0011422B">
              <w:t>1</w:t>
            </w:r>
            <w:r>
              <w:t>2</w:t>
            </w:r>
            <w:r w:rsidRPr="00331B0B">
              <w:t>, ont été observés chez 135 enfants suivis pendant les périodes de monothérapie</w:t>
            </w:r>
            <w:r>
              <w:t xml:space="preserve"> et aucune infection palustre n’a été enregistrée après la mise en place des moustiquaires. Parmi ces 135 enfants, 110 (81,5%)</w:t>
            </w:r>
            <w:r w:rsidRPr="00331B0B">
              <w:t xml:space="preserve"> ont présenté une infection palustre avant l’âge de 6 mois. Le plus jeune enfant présentant un accès palustre à </w:t>
            </w:r>
            <w:r w:rsidRPr="00331B0B">
              <w:rPr>
                <w:i/>
              </w:rPr>
              <w:t>P. falciparum</w:t>
            </w:r>
            <w:r w:rsidRPr="00331B0B">
              <w:t xml:space="preserve">, </w:t>
            </w:r>
            <w:r>
              <w:t>avait l’âge de 2 jours et 32</w:t>
            </w:r>
            <w:r w:rsidRPr="00331B0B">
              <w:t xml:space="preserve"> e</w:t>
            </w:r>
            <w:r>
              <w:t>nfants ont eu leur première infection</w:t>
            </w:r>
            <w:r w:rsidRPr="00331B0B">
              <w:t xml:space="preserve"> avant l’âge de 2 mois. L’âge médian de l’apparition de la première infection palustre était de 85 et 61 jours pour les </w:t>
            </w:r>
            <w:r>
              <w:t xml:space="preserve">cas fébriles </w:t>
            </w:r>
            <w:r w:rsidRPr="00331B0B">
              <w:t>et le portage asymptomatique respectivement. La moyenne géométrique</w:t>
            </w:r>
            <w:r>
              <w:t xml:space="preserve"> de la densité parasitaire au cours des accès</w:t>
            </w:r>
            <w:r w:rsidRPr="00331B0B">
              <w:t xml:space="preserve"> à </w:t>
            </w:r>
            <w:r w:rsidRPr="00331B0B">
              <w:rPr>
                <w:i/>
              </w:rPr>
              <w:t>P. falciparum</w:t>
            </w:r>
            <w:r w:rsidRPr="00331B0B">
              <w:t xml:space="preserve"> était de 7 729 parasites/</w:t>
            </w:r>
            <w:r w:rsidRPr="00331B0B">
              <w:rPr>
                <w:rFonts w:ascii="Symbol" w:hAnsi="Symbol" w:cs="Symbol"/>
              </w:rPr>
              <w:t></w:t>
            </w:r>
            <w:r w:rsidRPr="00331B0B">
              <w:t>l</w:t>
            </w:r>
            <w:r>
              <w:t xml:space="preserve"> de sang chez les nourrissons âgés de moins de 3 mois et de 24 248 parasites</w:t>
            </w:r>
            <w:r w:rsidRPr="00331B0B">
              <w:t>/</w:t>
            </w:r>
            <w:r w:rsidRPr="00331B0B">
              <w:rPr>
                <w:rFonts w:ascii="Symbol" w:hAnsi="Symbol" w:cs="Symbol"/>
              </w:rPr>
              <w:t></w:t>
            </w:r>
            <w:r w:rsidRPr="00331B0B">
              <w:t>l</w:t>
            </w:r>
            <w:r>
              <w:t xml:space="preserve"> de sang chez les enfants âgés de 3 mois ou plus.</w:t>
            </w:r>
          </w:p>
          <w:p w:rsidR="00E05263" w:rsidRPr="0043078A" w:rsidRDefault="00E05263" w:rsidP="00E05263">
            <w:pPr>
              <w:jc w:val="both"/>
              <w:rPr>
                <w:b/>
              </w:rPr>
            </w:pPr>
            <w:r w:rsidRPr="0043078A">
              <w:rPr>
                <w:b/>
              </w:rPr>
              <w:t>Conclusion</w:t>
            </w:r>
          </w:p>
          <w:p w:rsidR="00E05263" w:rsidRPr="00331B0B" w:rsidRDefault="00E05263" w:rsidP="00E05263">
            <w:pPr>
              <w:jc w:val="both"/>
            </w:pPr>
            <w:r>
              <w:t xml:space="preserve">La majorité des premières infections sont </w:t>
            </w:r>
            <w:proofErr w:type="gramStart"/>
            <w:r>
              <w:t>apparus</w:t>
            </w:r>
            <w:proofErr w:type="gramEnd"/>
            <w:r>
              <w:t xml:space="preserve"> avant l’âge de 6 mois avec un délai différent d’un enfant à un autre. Les plus faibles parasitémies des infections cliniques et l’essentiel du portage asymptomatique, ont été observés chez les plus jeunes nourrissons. </w:t>
            </w:r>
          </w:p>
          <w:p w:rsidR="00133419" w:rsidRPr="00F72B5E" w:rsidRDefault="00133419" w:rsidP="00E05263">
            <w:pPr>
              <w:jc w:val="both"/>
              <w:rPr>
                <w:rFonts w:ascii="Calibri" w:hAnsi="Calibri" w:cs="Arial"/>
              </w:rPr>
            </w:pPr>
          </w:p>
        </w:tc>
      </w:tr>
    </w:tbl>
    <w:p w:rsidR="00133419" w:rsidRPr="00F72B5E" w:rsidRDefault="00133419" w:rsidP="00133419">
      <w:pPr>
        <w:rPr>
          <w:rFonts w:ascii="Calibri" w:hAnsi="Calibri"/>
        </w:rPr>
      </w:pPr>
    </w:p>
    <w:sectPr w:rsidR="00133419" w:rsidRPr="00F72B5E">
      <w:headerReference w:type="default" r:id="rId9"/>
      <w:footerReference w:type="default" r:id="rId10"/>
      <w:pgSz w:w="11906" w:h="16838"/>
      <w:pgMar w:top="540" w:right="1417" w:bottom="54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C9" w:rsidRDefault="007B62C9" w:rsidP="00133419">
      <w:r>
        <w:separator/>
      </w:r>
    </w:p>
  </w:endnote>
  <w:endnote w:type="continuationSeparator" w:id="0">
    <w:p w:rsidR="007B62C9" w:rsidRDefault="007B62C9" w:rsidP="0013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19" w:rsidRDefault="00133419">
    <w:pPr>
      <w:pStyle w:val="Pieddepage"/>
    </w:pPr>
  </w:p>
  <w:p w:rsidR="00133419" w:rsidRDefault="0013341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C9" w:rsidRDefault="007B62C9" w:rsidP="00133419">
      <w:r>
        <w:separator/>
      </w:r>
    </w:p>
  </w:footnote>
  <w:footnote w:type="continuationSeparator" w:id="0">
    <w:p w:rsidR="007B62C9" w:rsidRDefault="007B62C9" w:rsidP="001334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19" w:rsidRDefault="00133419" w:rsidP="00133419">
    <w:pPr>
      <w:pStyle w:val="Titre"/>
      <w:rPr>
        <w:sz w:val="36"/>
      </w:rPr>
    </w:pPr>
    <w:r>
      <w:rPr>
        <w:sz w:val="36"/>
      </w:rPr>
      <w:t>9</w:t>
    </w:r>
    <w:r w:rsidRPr="009543CA">
      <w:rPr>
        <w:sz w:val="36"/>
        <w:vertAlign w:val="superscript"/>
      </w:rPr>
      <w:t>ème</w:t>
    </w:r>
    <w:r>
      <w:rPr>
        <w:sz w:val="36"/>
      </w:rPr>
      <w:t xml:space="preserve"> Congrès International Francophone de la Société de Pathologie Exotique, en partenariat avec la Société Médicale d’Afrique Noire de Langue Française</w:t>
    </w:r>
  </w:p>
  <w:p w:rsidR="00133419" w:rsidRDefault="00133419" w:rsidP="00133419">
    <w:pPr>
      <w:pStyle w:val="Titre"/>
      <w:rPr>
        <w:sz w:val="36"/>
      </w:rPr>
    </w:pPr>
    <w:r>
      <w:rPr>
        <w:sz w:val="36"/>
      </w:rPr>
      <w:t>Dakar, 12-14 novembre 2013</w:t>
    </w:r>
  </w:p>
  <w:p w:rsidR="00133419" w:rsidRPr="00634EF7" w:rsidRDefault="00133419" w:rsidP="00133419">
    <w:pPr>
      <w:pStyle w:val="Sous-titre"/>
      <w:jc w:val="center"/>
      <w:rPr>
        <w:smallCaps/>
        <w:color w:val="800000"/>
        <w:sz w:val="28"/>
      </w:rPr>
    </w:pPr>
    <w:r w:rsidRPr="00634EF7">
      <w:rPr>
        <w:smallCaps/>
        <w:color w:val="800000"/>
        <w:sz w:val="28"/>
      </w:rPr>
      <w:t>Proposition de communication</w:t>
    </w:r>
  </w:p>
  <w:p w:rsidR="00133419" w:rsidRDefault="00133419" w:rsidP="00133419">
    <w:pPr>
      <w:pStyle w:val="En-tte"/>
    </w:pPr>
  </w:p>
  <w:p w:rsidR="00133419" w:rsidRDefault="00133419" w:rsidP="00133419">
    <w:pPr>
      <w:pStyle w:val="En-tte"/>
      <w:rPr>
        <w:rFonts w:ascii="Verdana" w:hAnsi="Verdana"/>
        <w:sz w:val="20"/>
        <w:szCs w:val="20"/>
      </w:rPr>
    </w:pPr>
    <w:r>
      <w:t>Les résumés seront soumis de préférence en ligne sur le site de la conférence.</w:t>
    </w:r>
    <w:r>
      <w:rPr>
        <w:rFonts w:ascii="Verdana" w:hAnsi="Verdana"/>
        <w:sz w:val="20"/>
        <w:szCs w:val="20"/>
      </w:rPr>
      <w:br/>
    </w:r>
    <w:r>
      <w:rPr>
        <w:rFonts w:ascii="Verdana" w:hAnsi="Verdana"/>
        <w:sz w:val="20"/>
        <w:szCs w:val="20"/>
      </w:rPr>
      <w:fldChar w:fldCharType="begin"/>
    </w:r>
    <w:r>
      <w:rPr>
        <w:rFonts w:ascii="Verdana" w:hAnsi="Verdana"/>
        <w:sz w:val="20"/>
        <w:szCs w:val="20"/>
      </w:rPr>
      <w:instrText xml:space="preserve"> </w:instrText>
    </w:r>
    <w:r w:rsidR="00F40880">
      <w:rPr>
        <w:rFonts w:ascii="Verdana" w:hAnsi="Verdana"/>
        <w:sz w:val="20"/>
        <w:szCs w:val="20"/>
      </w:rPr>
      <w:instrText>HYPERLINK</w:instrText>
    </w:r>
    <w:r>
      <w:rPr>
        <w:rFonts w:ascii="Verdana" w:hAnsi="Verdana"/>
        <w:sz w:val="20"/>
        <w:szCs w:val="20"/>
      </w:rPr>
      <w:instrText xml:space="preserve"> "http://spe-smanlf-2013.sciencesconf.org/" \o "Dkr soumission resume" \t "_blank" </w:instrText>
    </w:r>
    <w:r w:rsidRPr="009A235A">
      <w:rPr>
        <w:rFonts w:ascii="Verdana" w:hAnsi="Verdana"/>
        <w:sz w:val="20"/>
        <w:szCs w:val="20"/>
      </w:rPr>
    </w:r>
    <w:r>
      <w:rPr>
        <w:rFonts w:ascii="Verdana" w:hAnsi="Verdana"/>
        <w:sz w:val="20"/>
        <w:szCs w:val="20"/>
      </w:rPr>
      <w:fldChar w:fldCharType="separate"/>
    </w:r>
    <w:r>
      <w:rPr>
        <w:rStyle w:val="Lienhypertexte"/>
        <w:rFonts w:ascii="Verdana" w:hAnsi="Verdana"/>
        <w:color w:val="0B36A2"/>
        <w:sz w:val="20"/>
        <w:szCs w:val="20"/>
      </w:rPr>
      <w:t>http://spe-smanlf-2013.sciencesconf.org</w:t>
    </w:r>
    <w:r>
      <w:rPr>
        <w:rFonts w:ascii="Verdana" w:hAnsi="Verdana"/>
        <w:sz w:val="20"/>
        <w:szCs w:val="20"/>
      </w:rPr>
      <w:fldChar w:fldCharType="end"/>
    </w:r>
  </w:p>
  <w:p w:rsidR="00133419" w:rsidRPr="00BB7967" w:rsidRDefault="00133419" w:rsidP="00133419">
    <w:pPr>
      <w:pStyle w:val="En-tte"/>
    </w:pPr>
    <w:r>
      <w:rPr>
        <w:rFonts w:ascii="Verdana" w:hAnsi="Verdana"/>
        <w:sz w:val="20"/>
        <w:szCs w:val="20"/>
      </w:rPr>
      <w:t>Il est nécessaire de s’inscrire sur le site dédié à la conférence (indiquer un identifiant : votre email par exemple et un mot de passe). En cas de perte, ce mot de passe vous sera renvoyé par email.</w:t>
    </w:r>
  </w:p>
  <w:p w:rsidR="00133419" w:rsidRPr="009A235A" w:rsidRDefault="00133419" w:rsidP="0013341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CF0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BF235E"/>
    <w:multiLevelType w:val="hybridMultilevel"/>
    <w:tmpl w:val="0192A0EE"/>
    <w:lvl w:ilvl="0" w:tplc="CDD638E0">
      <w:numFmt w:val="bullet"/>
      <w:lvlText w:val="-"/>
      <w:lvlJc w:val="left"/>
      <w:pPr>
        <w:tabs>
          <w:tab w:val="num" w:pos="780"/>
        </w:tabs>
        <w:ind w:left="7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00775CF"/>
    <w:multiLevelType w:val="hybridMultilevel"/>
    <w:tmpl w:val="F76A65F4"/>
    <w:lvl w:ilvl="0" w:tplc="84203DD2">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6001FE"/>
    <w:multiLevelType w:val="hybridMultilevel"/>
    <w:tmpl w:val="525E408E"/>
    <w:lvl w:ilvl="0" w:tplc="1D327ED0">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SortMethod w:val="000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DA"/>
    <w:rsid w:val="000B0A18"/>
    <w:rsid w:val="00133419"/>
    <w:rsid w:val="002E4AFA"/>
    <w:rsid w:val="003B0827"/>
    <w:rsid w:val="006F7008"/>
    <w:rsid w:val="007B08A8"/>
    <w:rsid w:val="007B62C9"/>
    <w:rsid w:val="009272F8"/>
    <w:rsid w:val="00BA7677"/>
    <w:rsid w:val="00BD598F"/>
    <w:rsid w:val="00C56EB5"/>
    <w:rsid w:val="00CC28C9"/>
    <w:rsid w:val="00CD41DE"/>
    <w:rsid w:val="00E05263"/>
    <w:rsid w:val="00F40880"/>
    <w:rsid w:val="00FD6F33"/>
    <w:rsid w:val="00FE1D1F"/>
  </w:rsids>
  <m:mathPr>
    <m:mathFont m:val="Cambria Math"/>
    <m:brkBin m:val="before"/>
    <m:brkBinSub m:val="--"/>
    <m:smallFrac m:val="0"/>
    <m:dispDef m:val="0"/>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pPr>
      <w:keepNext/>
      <w:jc w:val="center"/>
      <w:outlineLvl w:val="1"/>
    </w:pPr>
    <w:rPr>
      <w:rFonts w:ascii="Arial" w:hAnsi="Arial" w:cs="Arial"/>
      <w:b/>
      <w:bCs/>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pPr>
      <w:jc w:val="both"/>
    </w:pPr>
    <w:rPr>
      <w:rFonts w:ascii="Arial" w:hAnsi="Arial" w:cs="Arial"/>
      <w:b/>
      <w:bCs/>
    </w:rPr>
  </w:style>
  <w:style w:type="paragraph" w:styleId="Corpsdetexte3">
    <w:name w:val="Body Text 3"/>
    <w:basedOn w:val="Normal"/>
    <w:semiHidden/>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pPr>
      <w:keepNext/>
      <w:jc w:val="center"/>
      <w:outlineLvl w:val="1"/>
    </w:pPr>
    <w:rPr>
      <w:rFonts w:ascii="Arial" w:hAnsi="Arial" w:cs="Arial"/>
      <w:b/>
      <w:bCs/>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pPr>
      <w:jc w:val="both"/>
    </w:pPr>
    <w:rPr>
      <w:rFonts w:ascii="Arial" w:hAnsi="Arial" w:cs="Arial"/>
      <w:b/>
      <w:bCs/>
    </w:rPr>
  </w:style>
  <w:style w:type="paragraph" w:styleId="Corpsdetexte3">
    <w:name w:val="Body Text 3"/>
    <w:basedOn w:val="Normal"/>
    <w:semiHidden/>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71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cpatex@pasteur.f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3071</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XIIèmes Actualités du Pharo</vt:lpstr>
    </vt:vector>
  </TitlesOfParts>
  <Company>Service de Santé des Armées</Company>
  <LinksUpToDate>false</LinksUpToDate>
  <CharactersWithSpaces>3622</CharactersWithSpaces>
  <SharedDoc>false</SharedDoc>
  <HLinks>
    <vt:vector size="12" baseType="variant">
      <vt:variant>
        <vt:i4>655403</vt:i4>
      </vt:variant>
      <vt:variant>
        <vt:i4>0</vt:i4>
      </vt:variant>
      <vt:variant>
        <vt:i4>0</vt:i4>
      </vt:variant>
      <vt:variant>
        <vt:i4>5</vt:i4>
      </vt:variant>
      <vt:variant>
        <vt:lpwstr>mailto:socpatex@pasteur.fr</vt:lpwstr>
      </vt:variant>
      <vt:variant>
        <vt:lpwstr/>
      </vt:variant>
      <vt:variant>
        <vt:i4>131083</vt:i4>
      </vt:variant>
      <vt:variant>
        <vt:i4>0</vt:i4>
      </vt:variant>
      <vt:variant>
        <vt:i4>0</vt:i4>
      </vt:variant>
      <vt:variant>
        <vt:i4>5</vt:i4>
      </vt:variant>
      <vt:variant>
        <vt:lpwstr>http://spe-smanlf-2013.sciencesconf.org/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XIIèmes Actualités du Pharo</dc:title>
  <dc:subject/>
  <dc:creator>Gillet</dc:creator>
  <cp:keywords/>
  <cp:lastModifiedBy>Cheikh SOKHNA</cp:lastModifiedBy>
  <cp:revision>2</cp:revision>
  <dcterms:created xsi:type="dcterms:W3CDTF">2013-09-03T17:23:00Z</dcterms:created>
  <dcterms:modified xsi:type="dcterms:W3CDTF">2013-09-03T17:23:00Z</dcterms:modified>
</cp:coreProperties>
</file>