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19" w:rsidRDefault="00133419">
      <w:pPr>
        <w:jc w:val="center"/>
        <w:rPr>
          <w:rFonts w:ascii="Calibri" w:hAnsi="Calibri" w:cs="Arial"/>
          <w:b/>
          <w:bCs/>
          <w:sz w:val="28"/>
        </w:rPr>
      </w:pPr>
      <w:bookmarkStart w:id="0" w:name="_GoBack"/>
      <w:bookmarkEnd w:id="0"/>
    </w:p>
    <w:p w:rsidR="00133419" w:rsidRPr="007015A7" w:rsidRDefault="00133419" w:rsidP="00133419">
      <w:pPr>
        <w:jc w:val="center"/>
        <w:rPr>
          <w:rFonts w:ascii="Calibri" w:hAnsi="Calibri" w:cs="Arial"/>
          <w:sz w:val="22"/>
          <w:szCs w:val="22"/>
        </w:rPr>
      </w:pPr>
      <w:r w:rsidRPr="007015A7">
        <w:rPr>
          <w:rFonts w:ascii="Calibri" w:hAnsi="Calibri" w:cs="Arial"/>
          <w:sz w:val="22"/>
          <w:szCs w:val="22"/>
        </w:rPr>
        <w:t xml:space="preserve">Les propositions de communication comprenant le résumé (400 mots maximum) doivent parvenir </w:t>
      </w:r>
    </w:p>
    <w:p w:rsidR="00133419" w:rsidRPr="007015A7" w:rsidRDefault="00133419" w:rsidP="00133419">
      <w:pPr>
        <w:jc w:val="center"/>
        <w:rPr>
          <w:rFonts w:ascii="Calibri" w:hAnsi="Calibri" w:cs="Arial"/>
          <w:sz w:val="22"/>
          <w:szCs w:val="22"/>
        </w:rPr>
      </w:pPr>
      <w:proofErr w:type="gramStart"/>
      <w:r w:rsidRPr="007015A7">
        <w:rPr>
          <w:rFonts w:ascii="Calibri" w:hAnsi="Calibri" w:cs="Arial"/>
          <w:b/>
          <w:bCs/>
          <w:sz w:val="22"/>
          <w:szCs w:val="22"/>
        </w:rPr>
        <w:t>par</w:t>
      </w:r>
      <w:proofErr w:type="gramEnd"/>
      <w:r w:rsidRPr="007015A7">
        <w:rPr>
          <w:rFonts w:ascii="Calibri" w:hAnsi="Calibri" w:cs="Arial"/>
          <w:b/>
          <w:bCs/>
          <w:sz w:val="22"/>
          <w:szCs w:val="22"/>
        </w:rPr>
        <w:t xml:space="preserve"> courrier électronique à</w:t>
      </w:r>
    </w:p>
    <w:p w:rsidR="00133419" w:rsidRPr="007015A7" w:rsidRDefault="00133419" w:rsidP="00133419">
      <w:pPr>
        <w:jc w:val="center"/>
        <w:rPr>
          <w:rFonts w:ascii="Calibri" w:hAnsi="Calibri" w:cs="Arial"/>
          <w:b/>
          <w:bCs/>
          <w:sz w:val="22"/>
          <w:szCs w:val="22"/>
        </w:rPr>
      </w:pPr>
      <w:hyperlink r:id="rId8" w:history="1">
        <w:r w:rsidRPr="007015A7">
          <w:rPr>
            <w:rStyle w:val="Lienhypertexte"/>
            <w:rFonts w:ascii="Calibri" w:hAnsi="Calibri" w:cs="Arial"/>
            <w:b/>
            <w:sz w:val="22"/>
            <w:szCs w:val="22"/>
          </w:rPr>
          <w:t>socpatex</w:t>
        </w:r>
        <w:r w:rsidRPr="007015A7">
          <w:rPr>
            <w:rStyle w:val="Lienhypertexte"/>
            <w:rFonts w:ascii="Calibri" w:hAnsi="Calibri" w:cs="Arial"/>
            <w:b/>
            <w:sz w:val="22"/>
            <w:szCs w:val="22"/>
          </w:rPr>
          <w:t>@</w:t>
        </w:r>
        <w:r w:rsidRPr="007015A7">
          <w:rPr>
            <w:rStyle w:val="Lienhypertexte"/>
            <w:rFonts w:ascii="Calibri" w:hAnsi="Calibri" w:cs="Arial"/>
            <w:b/>
            <w:sz w:val="22"/>
            <w:szCs w:val="22"/>
          </w:rPr>
          <w:t>pasteur.fr</w:t>
        </w:r>
      </w:hyperlink>
      <w:r w:rsidRPr="007015A7">
        <w:rPr>
          <w:rFonts w:ascii="Calibri" w:hAnsi="Calibri" w:cs="Arial"/>
          <w:b/>
          <w:sz w:val="22"/>
          <w:szCs w:val="22"/>
        </w:rPr>
        <w:t xml:space="preserve"> </w:t>
      </w:r>
      <w:r w:rsidRPr="007015A7">
        <w:rPr>
          <w:rFonts w:ascii="Calibri" w:hAnsi="Calibri" w:cs="Arial"/>
          <w:b/>
          <w:bCs/>
          <w:sz w:val="22"/>
          <w:szCs w:val="22"/>
        </w:rPr>
        <w:t>avant le 4 septembre 2013</w:t>
      </w:r>
    </w:p>
    <w:p w:rsidR="00133419" w:rsidRPr="00F72B5E" w:rsidRDefault="00133419">
      <w:pPr>
        <w:jc w:val="center"/>
        <w:rPr>
          <w:rFonts w:ascii="Calibri" w:hAnsi="Calibri" w:cs="Arial"/>
          <w:b/>
          <w:bCs/>
          <w:sz w:val="28"/>
        </w:rPr>
      </w:pP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6"/>
      </w:tblGrid>
      <w:tr w:rsidR="00133419" w:rsidRPr="00F72B5E" w:rsidTr="00F67274">
        <w:tblPrEx>
          <w:tblCellMar>
            <w:top w:w="0" w:type="dxa"/>
            <w:bottom w:w="0" w:type="dxa"/>
          </w:tblCellMar>
        </w:tblPrEx>
        <w:trPr>
          <w:trHeight w:val="1101"/>
        </w:trPr>
        <w:tc>
          <w:tcPr>
            <w:tcW w:w="8536" w:type="dxa"/>
          </w:tcPr>
          <w:p w:rsidR="00133419" w:rsidRPr="00F67274" w:rsidRDefault="00133419" w:rsidP="00F67274">
            <w:pPr>
              <w:rPr>
                <w:rFonts w:ascii="Calibri" w:hAnsi="Calibri" w:cs="Arial"/>
                <w:b/>
                <w:bCs/>
                <w:color w:val="800000"/>
              </w:rPr>
            </w:pPr>
            <w:r w:rsidRPr="00F67274">
              <w:rPr>
                <w:rFonts w:ascii="Calibri" w:hAnsi="Calibri" w:cs="Arial"/>
                <w:b/>
                <w:bCs/>
                <w:color w:val="800000"/>
              </w:rPr>
              <w:t>Titre de la communication :</w:t>
            </w:r>
            <w:r w:rsidR="00F67274" w:rsidRPr="00F67274">
              <w:rPr>
                <w:rFonts w:ascii="Calibri" w:hAnsi="Calibri" w:cs="Arial"/>
                <w:b/>
                <w:bCs/>
                <w:color w:val="800000"/>
              </w:rPr>
              <w:t xml:space="preserve"> </w:t>
            </w:r>
            <w:r w:rsidR="00F67274" w:rsidRPr="00F67274">
              <w:rPr>
                <w:rFonts w:ascii="Calibri" w:hAnsi="Calibri"/>
                <w:b/>
              </w:rPr>
              <w:t>Caractérisation des gîtes larvaires d’</w:t>
            </w:r>
            <w:r w:rsidR="00F67274" w:rsidRPr="00F67274">
              <w:rPr>
                <w:rFonts w:ascii="Calibri" w:hAnsi="Calibri"/>
                <w:b/>
                <w:i/>
              </w:rPr>
              <w:t>Anopheles</w:t>
            </w:r>
            <w:r w:rsidR="00F67274" w:rsidRPr="00F67274">
              <w:rPr>
                <w:rFonts w:ascii="Calibri" w:hAnsi="Calibri"/>
                <w:b/>
              </w:rPr>
              <w:t xml:space="preserve"> </w:t>
            </w:r>
            <w:r w:rsidR="00F67274" w:rsidRPr="00F67274">
              <w:rPr>
                <w:rFonts w:ascii="Calibri" w:hAnsi="Calibri"/>
                <w:b/>
                <w:i/>
              </w:rPr>
              <w:t>gambiae</w:t>
            </w:r>
            <w:r w:rsidR="00F67274" w:rsidRPr="00F67274">
              <w:rPr>
                <w:rFonts w:ascii="Calibri" w:hAnsi="Calibri"/>
                <w:b/>
              </w:rPr>
              <w:t xml:space="preserve"> </w:t>
            </w:r>
            <w:r w:rsidR="00F67274" w:rsidRPr="00F67274">
              <w:rPr>
                <w:rFonts w:ascii="Calibri" w:hAnsi="Calibri"/>
                <w:b/>
                <w:i/>
              </w:rPr>
              <w:t>s.l.</w:t>
            </w:r>
            <w:r w:rsidR="00F67274" w:rsidRPr="00F67274">
              <w:rPr>
                <w:rFonts w:ascii="Calibri" w:hAnsi="Calibri"/>
                <w:b/>
              </w:rPr>
              <w:t xml:space="preserve"> dans les zones inondées de la banlieue de Dakar (Sénégal)</w:t>
            </w:r>
            <w:r w:rsidR="00F67274" w:rsidRPr="00F67274">
              <w:rPr>
                <w:rFonts w:ascii="Calibri" w:hAnsi="Calibri"/>
                <w:b/>
              </w:rPr>
              <w:br/>
            </w:r>
          </w:p>
        </w:tc>
      </w:tr>
      <w:tr w:rsidR="00133419" w:rsidRPr="00F72B5E" w:rsidTr="00F67274">
        <w:tblPrEx>
          <w:tblCellMar>
            <w:top w:w="0" w:type="dxa"/>
            <w:bottom w:w="0" w:type="dxa"/>
          </w:tblCellMar>
        </w:tblPrEx>
        <w:trPr>
          <w:trHeight w:val="485"/>
        </w:trPr>
        <w:tc>
          <w:tcPr>
            <w:tcW w:w="8536" w:type="dxa"/>
          </w:tcPr>
          <w:p w:rsidR="00133419" w:rsidRPr="00F67274" w:rsidRDefault="00133419" w:rsidP="00F67274">
            <w:pPr>
              <w:jc w:val="both"/>
              <w:rPr>
                <w:rFonts w:ascii="Calibri" w:hAnsi="Calibri"/>
              </w:rPr>
            </w:pPr>
            <w:r w:rsidRPr="00F67274">
              <w:rPr>
                <w:rFonts w:ascii="Calibri" w:hAnsi="Calibri" w:cs="Arial"/>
                <w:b/>
                <w:bCs/>
                <w:color w:val="800000"/>
              </w:rPr>
              <w:t xml:space="preserve">Mots clefs (5 maximum) : </w:t>
            </w:r>
            <w:r w:rsidR="00F67274" w:rsidRPr="00F67274">
              <w:rPr>
                <w:rFonts w:ascii="Calibri" w:hAnsi="Calibri"/>
                <w:bCs/>
              </w:rPr>
              <w:t xml:space="preserve">Gîtes larvaires, </w:t>
            </w:r>
            <w:r w:rsidR="00F67274" w:rsidRPr="00F67274">
              <w:rPr>
                <w:rFonts w:ascii="Calibri" w:hAnsi="Calibri"/>
                <w:i/>
              </w:rPr>
              <w:t>Anopheles</w:t>
            </w:r>
            <w:r w:rsidR="00F67274" w:rsidRPr="00F67274">
              <w:rPr>
                <w:rFonts w:ascii="Calibri" w:hAnsi="Calibri"/>
              </w:rPr>
              <w:t xml:space="preserve"> </w:t>
            </w:r>
            <w:r w:rsidR="00F67274" w:rsidRPr="00F67274">
              <w:rPr>
                <w:rFonts w:ascii="Calibri" w:hAnsi="Calibri"/>
                <w:i/>
              </w:rPr>
              <w:t>gambiae</w:t>
            </w:r>
            <w:r w:rsidR="00F67274" w:rsidRPr="00F67274">
              <w:rPr>
                <w:rFonts w:ascii="Calibri" w:hAnsi="Calibri"/>
              </w:rPr>
              <w:t xml:space="preserve"> </w:t>
            </w:r>
            <w:proofErr w:type="gramStart"/>
            <w:r w:rsidR="00F67274" w:rsidRPr="00F67274">
              <w:rPr>
                <w:rFonts w:ascii="Calibri" w:hAnsi="Calibri"/>
              </w:rPr>
              <w:t>s.l.,</w:t>
            </w:r>
            <w:proofErr w:type="gramEnd"/>
            <w:r w:rsidR="00F67274" w:rsidRPr="00F67274">
              <w:rPr>
                <w:rFonts w:ascii="Calibri" w:hAnsi="Calibri"/>
              </w:rPr>
              <w:t xml:space="preserve"> </w:t>
            </w:r>
            <w:r w:rsidR="00F67274" w:rsidRPr="00F67274">
              <w:rPr>
                <w:rFonts w:ascii="Calibri" w:hAnsi="Calibri"/>
                <w:i/>
              </w:rPr>
              <w:t>Culicinae</w:t>
            </w:r>
            <w:r w:rsidR="00F67274" w:rsidRPr="00F67274">
              <w:rPr>
                <w:rFonts w:ascii="Calibri" w:hAnsi="Calibri"/>
              </w:rPr>
              <w:t>, Dakar, Sénégal.</w:t>
            </w:r>
          </w:p>
          <w:p w:rsidR="00133419" w:rsidRPr="00F67274" w:rsidRDefault="00133419" w:rsidP="00133419">
            <w:pPr>
              <w:widowControl w:val="0"/>
              <w:autoSpaceDE w:val="0"/>
              <w:autoSpaceDN w:val="0"/>
              <w:adjustRightInd w:val="0"/>
              <w:spacing w:before="35"/>
              <w:ind w:right="250"/>
              <w:jc w:val="both"/>
              <w:rPr>
                <w:rFonts w:ascii="Calibri" w:hAnsi="Calibri" w:cs="Arial"/>
              </w:rPr>
            </w:pPr>
          </w:p>
        </w:tc>
      </w:tr>
      <w:tr w:rsidR="00133419" w:rsidRPr="00F72B5E" w:rsidTr="00F67274">
        <w:tblPrEx>
          <w:tblCellMar>
            <w:top w:w="0" w:type="dxa"/>
            <w:bottom w:w="0" w:type="dxa"/>
          </w:tblCellMar>
        </w:tblPrEx>
        <w:trPr>
          <w:trHeight w:val="873"/>
        </w:trPr>
        <w:tc>
          <w:tcPr>
            <w:tcW w:w="8536" w:type="dxa"/>
          </w:tcPr>
          <w:p w:rsidR="00133419" w:rsidRPr="00F67274" w:rsidRDefault="00133419" w:rsidP="00133419">
            <w:pPr>
              <w:jc w:val="both"/>
              <w:rPr>
                <w:rFonts w:ascii="Calibri" w:hAnsi="Calibri" w:cs="Arial"/>
                <w:b/>
                <w:bCs/>
                <w:color w:val="800000"/>
              </w:rPr>
            </w:pPr>
            <w:r w:rsidRPr="00F67274">
              <w:rPr>
                <w:rFonts w:ascii="Calibri" w:hAnsi="Calibri" w:cs="Arial"/>
                <w:b/>
                <w:bCs/>
                <w:color w:val="800000"/>
              </w:rPr>
              <w:t>Proposée en (cocher la case) :</w:t>
            </w:r>
          </w:p>
          <w:p w:rsidR="00133419" w:rsidRPr="00F67274" w:rsidRDefault="00133419" w:rsidP="00133419">
            <w:pPr>
              <w:ind w:left="3600"/>
              <w:jc w:val="both"/>
              <w:rPr>
                <w:rFonts w:ascii="Calibri" w:hAnsi="Calibri" w:cs="Arial"/>
              </w:rPr>
            </w:pPr>
            <w:r w:rsidRPr="00F67274">
              <w:rPr>
                <w:rFonts w:ascii="Calibri" w:hAnsi="Calibri" w:cs="Arial"/>
              </w:rPr>
              <w:sym w:font="Wingdings" w:char="F0A6"/>
            </w:r>
            <w:r w:rsidRPr="00F67274">
              <w:rPr>
                <w:rFonts w:ascii="Calibri" w:hAnsi="Calibri" w:cs="Arial"/>
              </w:rPr>
              <w:t xml:space="preserve"> Communication orale</w:t>
            </w:r>
          </w:p>
          <w:p w:rsidR="00133419" w:rsidRPr="00F67274" w:rsidRDefault="00133419" w:rsidP="00F67274">
            <w:pPr>
              <w:ind w:left="3600"/>
              <w:jc w:val="both"/>
              <w:rPr>
                <w:rFonts w:ascii="Calibri" w:hAnsi="Calibri" w:cs="Arial"/>
              </w:rPr>
            </w:pPr>
          </w:p>
        </w:tc>
      </w:tr>
      <w:tr w:rsidR="00133419" w:rsidRPr="00F72B5E" w:rsidTr="00F67274">
        <w:tblPrEx>
          <w:tblCellMar>
            <w:top w:w="0" w:type="dxa"/>
            <w:bottom w:w="0" w:type="dxa"/>
          </w:tblCellMar>
        </w:tblPrEx>
        <w:trPr>
          <w:trHeight w:val="873"/>
        </w:trPr>
        <w:tc>
          <w:tcPr>
            <w:tcW w:w="8536" w:type="dxa"/>
          </w:tcPr>
          <w:p w:rsidR="00133419" w:rsidRPr="00F67274" w:rsidRDefault="00133419" w:rsidP="00133419">
            <w:pPr>
              <w:jc w:val="both"/>
              <w:rPr>
                <w:rFonts w:ascii="Calibri" w:hAnsi="Calibri" w:cs="Arial"/>
                <w:b/>
                <w:bCs/>
                <w:color w:val="800000"/>
              </w:rPr>
            </w:pPr>
            <w:r w:rsidRPr="00F67274">
              <w:rPr>
                <w:rFonts w:ascii="Calibri" w:hAnsi="Calibri" w:cs="Arial"/>
                <w:b/>
                <w:bCs/>
                <w:color w:val="800000"/>
              </w:rPr>
              <w:t>Communication proposée dans la session (cocher la case) :</w:t>
            </w:r>
          </w:p>
          <w:p w:rsidR="00133419" w:rsidRPr="00F67274" w:rsidRDefault="00F67274" w:rsidP="00133419">
            <w:pPr>
              <w:ind w:left="1800"/>
              <w:jc w:val="both"/>
              <w:rPr>
                <w:rFonts w:ascii="Calibri" w:hAnsi="Calibri"/>
              </w:rPr>
            </w:pPr>
            <w:r w:rsidRPr="00F67274">
              <w:rPr>
                <w:rFonts w:ascii="Calibri" w:hAnsi="Calibri" w:cs="Arial"/>
                <w:b/>
              </w:rPr>
              <w:t xml:space="preserve">X </w:t>
            </w:r>
            <w:r w:rsidRPr="00F67274">
              <w:rPr>
                <w:rFonts w:ascii="Calibri" w:hAnsi="Calibri" w:cs="Arial"/>
              </w:rPr>
              <w:t xml:space="preserve"> </w:t>
            </w:r>
            <w:r w:rsidR="00133419" w:rsidRPr="00F67274">
              <w:rPr>
                <w:rFonts w:ascii="Calibri" w:hAnsi="Calibri"/>
              </w:rPr>
              <w:t>Paludisme et autres maladies parasitaires</w:t>
            </w:r>
          </w:p>
          <w:p w:rsidR="00133419" w:rsidRPr="00F67274" w:rsidRDefault="00133419" w:rsidP="00133419">
            <w:pPr>
              <w:ind w:left="1800"/>
              <w:rPr>
                <w:rFonts w:ascii="Calibri" w:hAnsi="Calibri"/>
              </w:rPr>
            </w:pPr>
            <w:r w:rsidRPr="00F67274">
              <w:rPr>
                <w:rFonts w:ascii="Calibri" w:hAnsi="Calibri" w:cs="Arial"/>
              </w:rPr>
              <w:sym w:font="Wingdings" w:char="F0A6"/>
            </w:r>
            <w:r w:rsidRPr="00F67274">
              <w:rPr>
                <w:rFonts w:ascii="Calibri" w:hAnsi="Calibri" w:cs="Arial"/>
              </w:rPr>
              <w:t xml:space="preserve"> </w:t>
            </w:r>
            <w:r w:rsidRPr="00F67274">
              <w:rPr>
                <w:rFonts w:ascii="Calibri" w:hAnsi="Calibri"/>
              </w:rPr>
              <w:t>Fièvres émergentes - maladies infectieuses tropicales négligées</w:t>
            </w:r>
          </w:p>
          <w:p w:rsidR="00133419" w:rsidRPr="00F67274" w:rsidRDefault="00133419" w:rsidP="00133419">
            <w:pPr>
              <w:ind w:left="1800"/>
              <w:rPr>
                <w:rFonts w:ascii="Calibri" w:hAnsi="Calibri"/>
              </w:rPr>
            </w:pPr>
            <w:r w:rsidRPr="00F67274">
              <w:rPr>
                <w:rFonts w:ascii="Calibri" w:hAnsi="Calibri" w:cs="Arial"/>
              </w:rPr>
              <w:sym w:font="Wingdings" w:char="F0A6"/>
            </w:r>
            <w:r w:rsidRPr="00F67274">
              <w:rPr>
                <w:rFonts w:ascii="Calibri" w:hAnsi="Calibri" w:cs="Arial"/>
              </w:rPr>
              <w:t xml:space="preserve"> </w:t>
            </w:r>
            <w:r w:rsidRPr="00F67274">
              <w:rPr>
                <w:rFonts w:ascii="Calibri" w:hAnsi="Calibri"/>
              </w:rPr>
              <w:t>Maladies nutritionnelles et diabète</w:t>
            </w:r>
          </w:p>
          <w:p w:rsidR="00133419" w:rsidRPr="00F67274" w:rsidRDefault="00133419" w:rsidP="00133419">
            <w:pPr>
              <w:ind w:left="1800"/>
              <w:rPr>
                <w:rFonts w:ascii="Calibri" w:hAnsi="Calibri"/>
              </w:rPr>
            </w:pPr>
            <w:r w:rsidRPr="00F67274">
              <w:rPr>
                <w:rFonts w:ascii="Calibri" w:hAnsi="Calibri" w:cs="Arial"/>
              </w:rPr>
              <w:sym w:font="Wingdings" w:char="F0A6"/>
            </w:r>
            <w:r w:rsidRPr="00F67274">
              <w:rPr>
                <w:rFonts w:ascii="Calibri" w:hAnsi="Calibri" w:cs="Arial"/>
              </w:rPr>
              <w:t xml:space="preserve"> </w:t>
            </w:r>
            <w:r w:rsidRPr="00F67274">
              <w:rPr>
                <w:rFonts w:ascii="Calibri" w:hAnsi="Calibri"/>
              </w:rPr>
              <w:t>Maladies cardiovasculaires et complications</w:t>
            </w:r>
          </w:p>
          <w:p w:rsidR="00133419" w:rsidRPr="00F67274" w:rsidRDefault="00133419" w:rsidP="00133419">
            <w:pPr>
              <w:ind w:left="1800"/>
              <w:jc w:val="both"/>
              <w:rPr>
                <w:rFonts w:ascii="Calibri" w:hAnsi="Calibri" w:cs="Arial"/>
                <w:color w:val="000000"/>
              </w:rPr>
            </w:pPr>
            <w:r w:rsidRPr="00F67274">
              <w:rPr>
                <w:rFonts w:ascii="Calibri" w:hAnsi="Calibri" w:cs="Arial"/>
              </w:rPr>
              <w:sym w:font="Wingdings" w:char="F0A6"/>
            </w:r>
            <w:r w:rsidRPr="00F67274">
              <w:rPr>
                <w:rFonts w:ascii="Calibri" w:hAnsi="Calibri" w:cs="Arial"/>
              </w:rPr>
              <w:t xml:space="preserve"> </w:t>
            </w:r>
            <w:r w:rsidRPr="00F67274">
              <w:rPr>
                <w:rFonts w:ascii="Calibri" w:hAnsi="Calibri" w:cs="Arial"/>
                <w:color w:val="000000"/>
              </w:rPr>
              <w:t>Epilepsies</w:t>
            </w:r>
          </w:p>
          <w:p w:rsidR="00133419" w:rsidRPr="00F67274" w:rsidRDefault="00133419" w:rsidP="00133419">
            <w:pPr>
              <w:ind w:left="1800"/>
              <w:jc w:val="both"/>
              <w:rPr>
                <w:rFonts w:ascii="Calibri" w:hAnsi="Calibri" w:cs="Arial"/>
                <w:color w:val="000000"/>
              </w:rPr>
            </w:pPr>
            <w:r w:rsidRPr="00F67274">
              <w:rPr>
                <w:rFonts w:ascii="Calibri" w:hAnsi="Calibri" w:cs="Arial"/>
              </w:rPr>
              <w:sym w:font="Wingdings" w:char="F0A6"/>
            </w:r>
            <w:r w:rsidRPr="00F67274">
              <w:rPr>
                <w:rFonts w:ascii="Calibri" w:hAnsi="Calibri" w:cs="Arial"/>
              </w:rPr>
              <w:t xml:space="preserve"> </w:t>
            </w:r>
            <w:r w:rsidRPr="00F67274">
              <w:rPr>
                <w:rFonts w:ascii="Calibri" w:hAnsi="Calibri" w:cs="Arial"/>
                <w:color w:val="000000"/>
              </w:rPr>
              <w:t>Mycoses</w:t>
            </w:r>
          </w:p>
          <w:p w:rsidR="00133419" w:rsidRPr="00F67274" w:rsidRDefault="00133419" w:rsidP="00133419">
            <w:pPr>
              <w:ind w:left="1800"/>
              <w:rPr>
                <w:rFonts w:ascii="Calibri" w:hAnsi="Calibri"/>
              </w:rPr>
            </w:pPr>
            <w:r w:rsidRPr="00F67274">
              <w:rPr>
                <w:rFonts w:ascii="Calibri" w:hAnsi="Calibri" w:cs="Arial"/>
              </w:rPr>
              <w:sym w:font="Wingdings" w:char="F0A6"/>
            </w:r>
            <w:r w:rsidRPr="00F67274">
              <w:rPr>
                <w:rFonts w:ascii="Calibri" w:hAnsi="Calibri" w:cs="Arial"/>
              </w:rPr>
              <w:t xml:space="preserve"> </w:t>
            </w:r>
            <w:r w:rsidRPr="00F67274">
              <w:rPr>
                <w:rFonts w:ascii="Calibri" w:hAnsi="Calibri"/>
              </w:rPr>
              <w:t>Accès aux soins - Prise en charge VIH et sida</w:t>
            </w:r>
          </w:p>
          <w:p w:rsidR="00133419" w:rsidRPr="00F67274" w:rsidRDefault="00133419" w:rsidP="00133419">
            <w:pPr>
              <w:ind w:left="1800"/>
              <w:rPr>
                <w:rFonts w:ascii="Calibri" w:hAnsi="Calibri"/>
              </w:rPr>
            </w:pPr>
            <w:r w:rsidRPr="00F67274">
              <w:rPr>
                <w:rFonts w:ascii="Calibri" w:hAnsi="Calibri" w:cs="Arial"/>
              </w:rPr>
              <w:sym w:font="Wingdings" w:char="F0A6"/>
            </w:r>
            <w:r w:rsidRPr="00F67274">
              <w:rPr>
                <w:rFonts w:ascii="Calibri" w:hAnsi="Calibri" w:cs="Arial"/>
              </w:rPr>
              <w:t xml:space="preserve"> </w:t>
            </w:r>
            <w:r w:rsidRPr="00F67274">
              <w:rPr>
                <w:rFonts w:ascii="Calibri" w:hAnsi="Calibri"/>
              </w:rPr>
              <w:t>Financement de la santé - Ressources humaines</w:t>
            </w:r>
          </w:p>
          <w:p w:rsidR="00133419" w:rsidRPr="00F67274" w:rsidRDefault="00133419" w:rsidP="00133419">
            <w:pPr>
              <w:ind w:left="1800"/>
              <w:rPr>
                <w:rFonts w:ascii="Calibri" w:hAnsi="Calibri"/>
              </w:rPr>
            </w:pPr>
            <w:r w:rsidRPr="00F67274">
              <w:rPr>
                <w:rFonts w:ascii="Calibri" w:hAnsi="Calibri" w:cs="Arial"/>
              </w:rPr>
              <w:sym w:font="Wingdings" w:char="F0A6"/>
            </w:r>
            <w:r w:rsidRPr="00F67274">
              <w:rPr>
                <w:rFonts w:ascii="Calibri" w:hAnsi="Calibri" w:cs="Arial"/>
              </w:rPr>
              <w:t xml:space="preserve">  </w:t>
            </w:r>
            <w:r w:rsidRPr="00F67274">
              <w:rPr>
                <w:rFonts w:ascii="Calibri" w:hAnsi="Calibri"/>
              </w:rPr>
              <w:t>Anthropologie de la santé</w:t>
            </w:r>
          </w:p>
        </w:tc>
      </w:tr>
      <w:tr w:rsidR="00133419" w:rsidRPr="00F72B5E" w:rsidTr="00F67274">
        <w:tblPrEx>
          <w:tblCellMar>
            <w:top w:w="0" w:type="dxa"/>
            <w:bottom w:w="0" w:type="dxa"/>
          </w:tblCellMar>
        </w:tblPrEx>
        <w:trPr>
          <w:trHeight w:val="568"/>
        </w:trPr>
        <w:tc>
          <w:tcPr>
            <w:tcW w:w="8536" w:type="dxa"/>
          </w:tcPr>
          <w:p w:rsidR="00133419" w:rsidRPr="00F67274" w:rsidRDefault="00133419" w:rsidP="00F67274">
            <w:pPr>
              <w:jc w:val="center"/>
              <w:rPr>
                <w:rFonts w:ascii="Calibri" w:hAnsi="Calibri"/>
              </w:rPr>
            </w:pPr>
            <w:r w:rsidRPr="00F67274">
              <w:rPr>
                <w:rFonts w:ascii="Calibri" w:hAnsi="Calibri" w:cs="Arial"/>
                <w:b/>
                <w:bCs/>
                <w:color w:val="800000"/>
              </w:rPr>
              <w:t xml:space="preserve">Auteurs (noms/prénoms) : </w:t>
            </w:r>
            <w:r w:rsidR="00F67274" w:rsidRPr="00F67274">
              <w:rPr>
                <w:rFonts w:ascii="Calibri" w:hAnsi="Calibri"/>
              </w:rPr>
              <w:t>DIEDHIOU Seynabou Mocote ¹, ², KONATE Lassana ¹, GADIAGA Libasse ¹, KONATE Abdoulaye ¹, FAYE Malick Ndao ¹, GAYE Abdoulaye ¹, ², SY Ousmane ¹, THIAW Oumar ¹, SOKHNA Cheikh Sadibou ² et FAYE Ousmane ¹</w:t>
            </w:r>
            <w:r w:rsidR="00F67274" w:rsidRPr="00F67274">
              <w:rPr>
                <w:rFonts w:ascii="Calibri" w:hAnsi="Calibri"/>
              </w:rPr>
              <w:br/>
            </w:r>
          </w:p>
        </w:tc>
      </w:tr>
      <w:tr w:rsidR="00133419" w:rsidRPr="00F72B5E" w:rsidTr="00F67274">
        <w:tblPrEx>
          <w:tblCellMar>
            <w:top w:w="0" w:type="dxa"/>
            <w:bottom w:w="0" w:type="dxa"/>
          </w:tblCellMar>
        </w:tblPrEx>
        <w:trPr>
          <w:trHeight w:val="918"/>
        </w:trPr>
        <w:tc>
          <w:tcPr>
            <w:tcW w:w="8536" w:type="dxa"/>
          </w:tcPr>
          <w:p w:rsidR="00F67274" w:rsidRPr="00F67274" w:rsidRDefault="00133419" w:rsidP="00F67274">
            <w:pPr>
              <w:jc w:val="both"/>
              <w:rPr>
                <w:rFonts w:ascii="Calibri" w:hAnsi="Calibri" w:cs="Arial"/>
                <w:b/>
                <w:bCs/>
                <w:color w:val="800000"/>
              </w:rPr>
            </w:pPr>
            <w:r w:rsidRPr="00F67274">
              <w:rPr>
                <w:rFonts w:ascii="Calibri" w:hAnsi="Calibri" w:cs="Arial"/>
                <w:b/>
                <w:bCs/>
                <w:color w:val="800000"/>
              </w:rPr>
              <w:t>Adresse de correspondance de l’auteur responsable (et affiliation) :</w:t>
            </w:r>
            <w:r w:rsidR="00F67274" w:rsidRPr="00F67274">
              <w:rPr>
                <w:rFonts w:ascii="Calibri" w:hAnsi="Calibri" w:cs="Arial"/>
                <w:b/>
                <w:bCs/>
                <w:color w:val="800000"/>
              </w:rPr>
              <w:t xml:space="preserve"> </w:t>
            </w:r>
          </w:p>
          <w:p w:rsidR="00F67274" w:rsidRPr="00F67274" w:rsidRDefault="00F67274" w:rsidP="00F67274">
            <w:pPr>
              <w:jc w:val="both"/>
              <w:rPr>
                <w:rFonts w:ascii="Calibri" w:hAnsi="Calibri"/>
                <w:sz w:val="28"/>
              </w:rPr>
            </w:pPr>
            <w:r w:rsidRPr="00F67274">
              <w:rPr>
                <w:rFonts w:ascii="Calibri" w:hAnsi="Calibri" w:cs="Arial"/>
                <w:b/>
                <w:bCs/>
                <w:color w:val="800000"/>
              </w:rPr>
              <w:t xml:space="preserve">  </w:t>
            </w:r>
            <w:r w:rsidRPr="00F67274">
              <w:rPr>
                <w:rFonts w:ascii="Calibri" w:hAnsi="Calibri"/>
              </w:rPr>
              <w:t>¹ Laboratoire d'Ecologie Vectorielle et parasitaire, FST - UCAD Dakar-Sénégal</w:t>
            </w:r>
            <w:r w:rsidRPr="00F67274">
              <w:rPr>
                <w:rFonts w:ascii="Calibri" w:hAnsi="Calibri"/>
              </w:rPr>
              <w:br/>
              <w:t>  ² URMITE, UMR CNRS 6236 - IRD 198 - Aix Marseille Unive</w:t>
            </w:r>
            <w:r w:rsidR="00776684">
              <w:rPr>
                <w:rFonts w:ascii="Calibri" w:hAnsi="Calibri"/>
              </w:rPr>
              <w:t>rsité, Campus Universitaire</w:t>
            </w:r>
            <w:r w:rsidRPr="00F67274">
              <w:rPr>
                <w:rFonts w:ascii="Calibri" w:hAnsi="Calibri"/>
              </w:rPr>
              <w:t xml:space="preserve"> IRD de Hann, BP 1386 CP 18524 Dakar, Sénégal</w:t>
            </w:r>
          </w:p>
          <w:p w:rsidR="00133419" w:rsidRPr="00F67274" w:rsidRDefault="00133419">
            <w:pPr>
              <w:jc w:val="both"/>
              <w:rPr>
                <w:rFonts w:ascii="Calibri" w:hAnsi="Calibri" w:cs="Arial"/>
                <w:b/>
                <w:bCs/>
                <w:color w:val="800000"/>
              </w:rPr>
            </w:pPr>
          </w:p>
          <w:p w:rsidR="00133419" w:rsidRPr="00F67274" w:rsidRDefault="00133419" w:rsidP="00133419">
            <w:pPr>
              <w:ind w:left="777"/>
              <w:rPr>
                <w:rFonts w:ascii="Calibri" w:hAnsi="Calibri" w:cs="Arial"/>
              </w:rPr>
            </w:pPr>
          </w:p>
        </w:tc>
      </w:tr>
      <w:tr w:rsidR="00133419" w:rsidRPr="00F72B5E" w:rsidTr="00F67274">
        <w:tblPrEx>
          <w:tblCellMar>
            <w:top w:w="0" w:type="dxa"/>
            <w:bottom w:w="0" w:type="dxa"/>
          </w:tblCellMar>
        </w:tblPrEx>
        <w:trPr>
          <w:trHeight w:val="1498"/>
        </w:trPr>
        <w:tc>
          <w:tcPr>
            <w:tcW w:w="8536" w:type="dxa"/>
          </w:tcPr>
          <w:p w:rsidR="00133419" w:rsidRPr="00F67274" w:rsidRDefault="00133419" w:rsidP="00133419">
            <w:pPr>
              <w:jc w:val="both"/>
              <w:rPr>
                <w:rFonts w:ascii="Calibri" w:hAnsi="Calibri" w:cs="Arial"/>
                <w:b/>
                <w:bCs/>
              </w:rPr>
            </w:pPr>
            <w:r w:rsidRPr="00947344">
              <w:rPr>
                <w:rFonts w:ascii="Calibri" w:hAnsi="Calibri" w:cs="Arial"/>
                <w:b/>
                <w:bCs/>
                <w:color w:val="800000"/>
              </w:rPr>
              <w:lastRenderedPageBreak/>
              <w:t xml:space="preserve">Adresse électronique :   </w:t>
            </w:r>
            <w:r w:rsidR="00F67274" w:rsidRPr="00F67274">
              <w:rPr>
                <w:rFonts w:ascii="Calibri" w:hAnsi="Calibri" w:cs="Arial"/>
                <w:b/>
                <w:bCs/>
              </w:rPr>
              <w:t>seynabou.diedhiou@ird.fr</w:t>
            </w:r>
          </w:p>
          <w:p w:rsidR="00133419" w:rsidRPr="00947344" w:rsidRDefault="00133419" w:rsidP="00133419">
            <w:pPr>
              <w:jc w:val="both"/>
              <w:rPr>
                <w:rFonts w:ascii="Calibri" w:hAnsi="Calibri"/>
                <w:b/>
                <w:bCs/>
                <w:color w:val="800000"/>
              </w:rPr>
            </w:pPr>
          </w:p>
          <w:p w:rsidR="00133419" w:rsidRPr="00F72B5E" w:rsidRDefault="00133419" w:rsidP="00133419">
            <w:pPr>
              <w:jc w:val="both"/>
              <w:rPr>
                <w:rFonts w:ascii="Calibri" w:hAnsi="Calibri" w:cs="Arial"/>
              </w:rPr>
            </w:pPr>
            <w:r w:rsidRPr="00947344">
              <w:rPr>
                <w:rFonts w:ascii="Calibri" w:hAnsi="Calibri" w:cs="Arial"/>
                <w:b/>
                <w:bCs/>
                <w:color w:val="800000"/>
              </w:rPr>
              <w:t>Téléphone :</w:t>
            </w:r>
            <w:r w:rsidR="00F67274">
              <w:rPr>
                <w:rFonts w:ascii="Calibri" w:hAnsi="Calibri" w:cs="Arial"/>
                <w:b/>
                <w:bCs/>
                <w:color w:val="800000"/>
              </w:rPr>
              <w:t xml:space="preserve"> </w:t>
            </w:r>
            <w:r w:rsidR="00F67274" w:rsidRPr="00F67274">
              <w:rPr>
                <w:rFonts w:ascii="Calibri" w:hAnsi="Calibri" w:cs="Arial"/>
                <w:b/>
                <w:bCs/>
              </w:rPr>
              <w:t>+221775142132</w:t>
            </w:r>
          </w:p>
        </w:tc>
      </w:tr>
      <w:tr w:rsidR="00133419" w:rsidRPr="00F72B5E" w:rsidTr="00F67274">
        <w:tblPrEx>
          <w:tblCellMar>
            <w:top w:w="0" w:type="dxa"/>
            <w:bottom w:w="0" w:type="dxa"/>
          </w:tblCellMar>
        </w:tblPrEx>
        <w:trPr>
          <w:trHeight w:val="9365"/>
        </w:trPr>
        <w:tc>
          <w:tcPr>
            <w:tcW w:w="8536" w:type="dxa"/>
          </w:tcPr>
          <w:p w:rsidR="00133419" w:rsidRPr="00F67274" w:rsidRDefault="00133419" w:rsidP="00F67274">
            <w:pPr>
              <w:jc w:val="both"/>
              <w:rPr>
                <w:rFonts w:ascii="Calibri" w:hAnsi="Calibri" w:cs="Arial"/>
              </w:rPr>
            </w:pPr>
            <w:r w:rsidRPr="00F67274">
              <w:rPr>
                <w:rFonts w:ascii="Calibri" w:hAnsi="Calibri" w:cs="Arial"/>
              </w:rPr>
              <w:t>Résumé en français (400 mots maximum) :</w:t>
            </w:r>
          </w:p>
          <w:p w:rsidR="00F67274" w:rsidRPr="00F67274" w:rsidRDefault="00F67274" w:rsidP="00F67274">
            <w:pPr>
              <w:jc w:val="both"/>
              <w:rPr>
                <w:rFonts w:ascii="Calibri" w:hAnsi="Calibri"/>
                <w:b/>
              </w:rPr>
            </w:pPr>
          </w:p>
          <w:p w:rsidR="00F67274" w:rsidRPr="00F67274" w:rsidRDefault="00F67274" w:rsidP="00F67274">
            <w:pPr>
              <w:jc w:val="both"/>
              <w:rPr>
                <w:rFonts w:ascii="Calibri" w:hAnsi="Calibri"/>
                <w:b/>
              </w:rPr>
            </w:pPr>
            <w:r w:rsidRPr="00F67274">
              <w:rPr>
                <w:rFonts w:ascii="Calibri" w:hAnsi="Calibri"/>
                <w:b/>
              </w:rPr>
              <w:t>Contexte</w:t>
            </w:r>
            <w:r w:rsidRPr="00F67274">
              <w:rPr>
                <w:rFonts w:ascii="Calibri" w:hAnsi="Calibri"/>
                <w:b/>
              </w:rPr>
              <w:br/>
            </w:r>
            <w:r w:rsidRPr="00F67274">
              <w:rPr>
                <w:rFonts w:ascii="Calibri" w:hAnsi="Calibri"/>
              </w:rPr>
              <w:t>La Région de Dakar est confrontée à des inondations récurrentes dues à l'urbanisation galopante et désordonnée. Cette situation conduit à une augmentation des gîtes larvaires d’</w:t>
            </w:r>
            <w:r w:rsidRPr="00F67274">
              <w:rPr>
                <w:rFonts w:ascii="Calibri" w:hAnsi="Calibri"/>
                <w:i/>
              </w:rPr>
              <w:t>Anopheles</w:t>
            </w:r>
            <w:r w:rsidRPr="00F67274">
              <w:rPr>
                <w:rFonts w:ascii="Calibri" w:hAnsi="Calibri"/>
              </w:rPr>
              <w:t xml:space="preserve"> et à la recrudescence des cas de paludisme. Le paludisme urbain est considéré comme un problème de santé publique d'une importance majeure en Afrique. Dans cette étude, les gîtes larvaires de moustiques ont été répertoriés pour fournir le nombre et la composition des gîtes d’</w:t>
            </w:r>
            <w:r w:rsidRPr="00F67274">
              <w:rPr>
                <w:rFonts w:ascii="Calibri" w:hAnsi="Calibri"/>
                <w:i/>
              </w:rPr>
              <w:t>Anopheles</w:t>
            </w:r>
            <w:r w:rsidRPr="00F67274">
              <w:rPr>
                <w:rFonts w:ascii="Calibri" w:hAnsi="Calibri"/>
              </w:rPr>
              <w:t xml:space="preserve"> et de </w:t>
            </w:r>
            <w:r w:rsidRPr="00F67274">
              <w:rPr>
                <w:rFonts w:ascii="Calibri" w:hAnsi="Calibri"/>
                <w:i/>
              </w:rPr>
              <w:t>Culicinae</w:t>
            </w:r>
            <w:r w:rsidRPr="00F67274">
              <w:rPr>
                <w:rFonts w:ascii="Calibri" w:hAnsi="Calibri"/>
              </w:rPr>
              <w:t xml:space="preserve"> dans la banlieue de Dakar. </w:t>
            </w:r>
          </w:p>
          <w:p w:rsidR="00F67274" w:rsidRPr="00F67274" w:rsidRDefault="00F67274" w:rsidP="00F67274">
            <w:pPr>
              <w:jc w:val="both"/>
              <w:rPr>
                <w:rFonts w:ascii="Calibri" w:hAnsi="Calibri"/>
              </w:rPr>
            </w:pPr>
            <w:r w:rsidRPr="00F67274">
              <w:rPr>
                <w:rFonts w:ascii="Calibri" w:hAnsi="Calibri"/>
                <w:b/>
              </w:rPr>
              <w:t>Méthodes</w:t>
            </w:r>
            <w:r w:rsidRPr="00F67274">
              <w:rPr>
                <w:rFonts w:ascii="Calibri" w:hAnsi="Calibri"/>
                <w:b/>
              </w:rPr>
              <w:br/>
            </w:r>
            <w:r w:rsidRPr="00F67274">
              <w:rPr>
                <w:rFonts w:ascii="Calibri" w:hAnsi="Calibri"/>
              </w:rPr>
              <w:t>L'étude a été menée pendant la saison des pluies d'août à octobre 2012 dans la  banlieue de Dakar (Pikine). Tous les gîtes larvaires rencontrés ont été répertoriés, géo-référencés et classés en trois types selon la permanence de l'eau. Dans chaque gîte, la présence de larves d’</w:t>
            </w:r>
            <w:r w:rsidRPr="00F67274">
              <w:rPr>
                <w:rFonts w:ascii="Calibri" w:hAnsi="Calibri"/>
                <w:i/>
              </w:rPr>
              <w:t>Anopheles</w:t>
            </w:r>
            <w:r w:rsidRPr="00F67274">
              <w:rPr>
                <w:rFonts w:ascii="Calibri" w:hAnsi="Calibri"/>
              </w:rPr>
              <w:t xml:space="preserve"> et / ou de </w:t>
            </w:r>
            <w:r w:rsidRPr="00F67274">
              <w:rPr>
                <w:rFonts w:ascii="Calibri" w:hAnsi="Calibri"/>
                <w:i/>
              </w:rPr>
              <w:t>Culicinae</w:t>
            </w:r>
            <w:r w:rsidRPr="00F67274">
              <w:rPr>
                <w:rFonts w:ascii="Calibri" w:hAnsi="Calibri"/>
              </w:rPr>
              <w:t xml:space="preserve"> a été enregistrée.</w:t>
            </w:r>
          </w:p>
          <w:p w:rsidR="00F67274" w:rsidRPr="00F67274" w:rsidRDefault="00F67274" w:rsidP="00F67274">
            <w:pPr>
              <w:jc w:val="both"/>
              <w:rPr>
                <w:rFonts w:ascii="Calibri" w:hAnsi="Calibri"/>
              </w:rPr>
            </w:pPr>
            <w:r w:rsidRPr="00F67274">
              <w:rPr>
                <w:rFonts w:ascii="Calibri" w:hAnsi="Calibri"/>
                <w:b/>
              </w:rPr>
              <w:t>Résultats</w:t>
            </w:r>
            <w:r w:rsidRPr="00F67274">
              <w:rPr>
                <w:rFonts w:ascii="Calibri" w:hAnsi="Calibri"/>
              </w:rPr>
              <w:br/>
              <w:t xml:space="preserve">Un total de 131 gîtes larvaires ont été répertoriés. La moitié (50%) d'entre eux était positive en </w:t>
            </w:r>
            <w:r w:rsidRPr="00F67274">
              <w:rPr>
                <w:rFonts w:ascii="Calibri" w:hAnsi="Calibri"/>
                <w:i/>
              </w:rPr>
              <w:t>Culicidae</w:t>
            </w:r>
            <w:r w:rsidRPr="00F67274">
              <w:rPr>
                <w:rFonts w:ascii="Calibri" w:hAnsi="Calibri"/>
              </w:rPr>
              <w:t xml:space="preserve"> tandis que l’autre moitié était négative. Les gîtes larvaires de </w:t>
            </w:r>
            <w:r w:rsidRPr="00F67274">
              <w:rPr>
                <w:rFonts w:ascii="Calibri" w:hAnsi="Calibri"/>
                <w:i/>
              </w:rPr>
              <w:t>Culicidae</w:t>
            </w:r>
            <w:r w:rsidRPr="00F67274">
              <w:rPr>
                <w:rFonts w:ascii="Calibri" w:hAnsi="Calibri"/>
              </w:rPr>
              <w:t xml:space="preserve"> étaient constitués de gîtes d’</w:t>
            </w:r>
            <w:r w:rsidRPr="00F67274">
              <w:rPr>
                <w:rFonts w:ascii="Calibri" w:hAnsi="Calibri"/>
                <w:i/>
              </w:rPr>
              <w:t>Anopheles</w:t>
            </w:r>
            <w:r w:rsidRPr="00F67274">
              <w:rPr>
                <w:rFonts w:ascii="Calibri" w:hAnsi="Calibri"/>
              </w:rPr>
              <w:t xml:space="preserve">, de </w:t>
            </w:r>
            <w:r w:rsidRPr="00F67274">
              <w:rPr>
                <w:rFonts w:ascii="Calibri" w:hAnsi="Calibri"/>
                <w:i/>
              </w:rPr>
              <w:t>Culicinae</w:t>
            </w:r>
            <w:r w:rsidRPr="00F67274">
              <w:rPr>
                <w:rFonts w:ascii="Calibri" w:hAnsi="Calibri"/>
              </w:rPr>
              <w:t xml:space="preserve"> et de gîtes mixtes </w:t>
            </w:r>
            <w:r w:rsidRPr="00F67274">
              <w:rPr>
                <w:rFonts w:ascii="Calibri" w:hAnsi="Calibri"/>
                <w:i/>
              </w:rPr>
              <w:t>Anopheles</w:t>
            </w:r>
            <w:r w:rsidRPr="00F67274">
              <w:rPr>
                <w:rFonts w:ascii="Calibri" w:hAnsi="Calibri"/>
              </w:rPr>
              <w:t>-</w:t>
            </w:r>
            <w:r w:rsidRPr="00F67274">
              <w:rPr>
                <w:rFonts w:ascii="Calibri" w:hAnsi="Calibri"/>
                <w:i/>
              </w:rPr>
              <w:t>Culicinae</w:t>
            </w:r>
            <w:r w:rsidRPr="00F67274">
              <w:rPr>
                <w:rFonts w:ascii="Calibri" w:hAnsi="Calibri"/>
              </w:rPr>
              <w:t>, soit 29%, 50% et 20%, respectivement. 90% des gîtes larvaires d’</w:t>
            </w:r>
            <w:r w:rsidRPr="00F67274">
              <w:rPr>
                <w:rFonts w:ascii="Calibri" w:hAnsi="Calibri"/>
                <w:i/>
              </w:rPr>
              <w:t>Anopheles</w:t>
            </w:r>
            <w:r w:rsidRPr="00F67274">
              <w:rPr>
                <w:rFonts w:ascii="Calibri" w:hAnsi="Calibri"/>
              </w:rPr>
              <w:t xml:space="preserve"> et de gîtes mixtes étaient d’origine pluviale. Parmi les gîtes positifs en </w:t>
            </w:r>
            <w:r w:rsidRPr="00F67274">
              <w:rPr>
                <w:rFonts w:ascii="Calibri" w:hAnsi="Calibri"/>
                <w:i/>
              </w:rPr>
              <w:t>Culicidae</w:t>
            </w:r>
            <w:r w:rsidRPr="00F67274">
              <w:rPr>
                <w:rFonts w:ascii="Calibri" w:hAnsi="Calibri"/>
              </w:rPr>
              <w:t>, les gîtes larvaires d’</w:t>
            </w:r>
            <w:r w:rsidRPr="00F67274">
              <w:rPr>
                <w:rFonts w:ascii="Calibri" w:hAnsi="Calibri"/>
                <w:i/>
              </w:rPr>
              <w:t>Anopheles</w:t>
            </w:r>
            <w:r w:rsidRPr="00F67274">
              <w:rPr>
                <w:rFonts w:ascii="Calibri" w:hAnsi="Calibri"/>
              </w:rPr>
              <w:t xml:space="preserve"> et les gîtes mixtes sont composés de 33% des gîtes permanents, 63% des gîtes semi-permanents et 46% des gîtes temporaires. La plupart des sites de reproduction de ces moustiques étaient à moins de 15 m des habitations.</w:t>
            </w:r>
          </w:p>
          <w:p w:rsidR="00133419" w:rsidRPr="00776684" w:rsidRDefault="00F67274">
            <w:pPr>
              <w:jc w:val="both"/>
              <w:rPr>
                <w:rFonts w:ascii="Calibri" w:hAnsi="Calibri"/>
              </w:rPr>
            </w:pPr>
            <w:r w:rsidRPr="00F67274">
              <w:rPr>
                <w:rFonts w:ascii="Calibri" w:hAnsi="Calibri"/>
                <w:b/>
              </w:rPr>
              <w:t>Conclusion</w:t>
            </w:r>
            <w:r w:rsidRPr="00F67274">
              <w:rPr>
                <w:rFonts w:ascii="Calibri" w:hAnsi="Calibri"/>
              </w:rPr>
              <w:br/>
              <w:t>Cette étude montre que la population de la zone urbaine pourrait être fortement exposée aux piqûres d’</w:t>
            </w:r>
            <w:r w:rsidRPr="00F67274">
              <w:rPr>
                <w:rFonts w:ascii="Calibri" w:hAnsi="Calibri"/>
                <w:i/>
              </w:rPr>
              <w:t>Anopheles</w:t>
            </w:r>
            <w:r w:rsidRPr="00F67274">
              <w:rPr>
                <w:rFonts w:ascii="Calibri" w:hAnsi="Calibri"/>
              </w:rPr>
              <w:t xml:space="preserve"> donc à un risque de transmission du paludisme. L’étude devrait être étendue pour mieux comprendre la dynamique de la productivité des gîtes larvaires et  des adultes d’</w:t>
            </w:r>
            <w:r w:rsidRPr="00F67274">
              <w:rPr>
                <w:rFonts w:ascii="Calibri" w:hAnsi="Calibri"/>
                <w:i/>
              </w:rPr>
              <w:t>Anophèles</w:t>
            </w:r>
            <w:r w:rsidRPr="00F67274">
              <w:rPr>
                <w:rFonts w:ascii="Calibri" w:hAnsi="Calibri"/>
              </w:rPr>
              <w:t xml:space="preserve"> </w:t>
            </w:r>
            <w:r w:rsidRPr="00F67274">
              <w:rPr>
                <w:rFonts w:ascii="Calibri" w:hAnsi="Calibri"/>
                <w:i/>
              </w:rPr>
              <w:t>gambiae</w:t>
            </w:r>
            <w:r w:rsidRPr="00F67274">
              <w:rPr>
                <w:rFonts w:ascii="Calibri" w:hAnsi="Calibri"/>
              </w:rPr>
              <w:t>. Cette étude pourra aider à la mise en œuvre d'une stratégie de l</w:t>
            </w:r>
            <w:r w:rsidR="00776684">
              <w:rPr>
                <w:rFonts w:ascii="Calibri" w:hAnsi="Calibri"/>
              </w:rPr>
              <w:t>utte antivectorielle appropriée.</w:t>
            </w:r>
          </w:p>
          <w:p w:rsidR="00133419" w:rsidRPr="00F72B5E" w:rsidRDefault="00133419">
            <w:pPr>
              <w:jc w:val="both"/>
              <w:rPr>
                <w:rFonts w:ascii="Calibri" w:hAnsi="Calibri" w:cs="Arial"/>
              </w:rPr>
            </w:pPr>
          </w:p>
          <w:p w:rsidR="00133419" w:rsidRPr="00F72B5E" w:rsidRDefault="00133419">
            <w:pPr>
              <w:jc w:val="both"/>
              <w:rPr>
                <w:rFonts w:ascii="Calibri" w:hAnsi="Calibri" w:cs="Arial"/>
              </w:rPr>
            </w:pPr>
          </w:p>
          <w:p w:rsidR="00133419" w:rsidRPr="00F72B5E" w:rsidRDefault="00133419">
            <w:pPr>
              <w:jc w:val="both"/>
              <w:rPr>
                <w:rFonts w:ascii="Calibri" w:hAnsi="Calibri" w:cs="Arial"/>
              </w:rPr>
            </w:pPr>
          </w:p>
          <w:p w:rsidR="00133419" w:rsidRPr="00F72B5E" w:rsidRDefault="00133419">
            <w:pPr>
              <w:jc w:val="both"/>
              <w:rPr>
                <w:rFonts w:ascii="Calibri" w:hAnsi="Calibri" w:cs="Arial"/>
              </w:rPr>
            </w:pPr>
          </w:p>
          <w:p w:rsidR="00133419" w:rsidRPr="00F72B5E" w:rsidRDefault="00133419">
            <w:pPr>
              <w:jc w:val="both"/>
              <w:rPr>
                <w:rFonts w:ascii="Calibri" w:hAnsi="Calibri" w:cs="Arial"/>
              </w:rPr>
            </w:pPr>
          </w:p>
          <w:p w:rsidR="00133419" w:rsidRPr="00F72B5E" w:rsidRDefault="00133419">
            <w:pPr>
              <w:jc w:val="both"/>
              <w:rPr>
                <w:rFonts w:ascii="Calibri" w:hAnsi="Calibri" w:cs="Arial"/>
              </w:rPr>
            </w:pPr>
          </w:p>
          <w:p w:rsidR="00133419" w:rsidRPr="00F72B5E" w:rsidRDefault="00133419">
            <w:pPr>
              <w:jc w:val="both"/>
              <w:rPr>
                <w:rFonts w:ascii="Calibri" w:hAnsi="Calibri" w:cs="Arial"/>
              </w:rPr>
            </w:pPr>
          </w:p>
        </w:tc>
      </w:tr>
    </w:tbl>
    <w:p w:rsidR="00133419" w:rsidRPr="00F72B5E" w:rsidRDefault="00133419" w:rsidP="00133419">
      <w:pPr>
        <w:rPr>
          <w:rFonts w:ascii="Calibri" w:hAnsi="Calibri"/>
        </w:rPr>
      </w:pPr>
    </w:p>
    <w:sectPr w:rsidR="00133419" w:rsidRPr="00F72B5E">
      <w:headerReference w:type="default" r:id="rId9"/>
      <w:footerReference w:type="default" r:id="rId10"/>
      <w:pgSz w:w="11906" w:h="16838"/>
      <w:pgMar w:top="540" w:right="1417" w:bottom="54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30E" w:rsidRDefault="00B5730E" w:rsidP="00133419">
      <w:r>
        <w:separator/>
      </w:r>
    </w:p>
  </w:endnote>
  <w:endnote w:type="continuationSeparator" w:id="0">
    <w:p w:rsidR="00B5730E" w:rsidRDefault="00B5730E" w:rsidP="0013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19" w:rsidRDefault="00133419">
    <w:pPr>
      <w:pStyle w:val="Pieddepage"/>
    </w:pPr>
  </w:p>
  <w:p w:rsidR="00133419" w:rsidRDefault="0013341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30E" w:rsidRDefault="00B5730E" w:rsidP="00133419">
      <w:r>
        <w:separator/>
      </w:r>
    </w:p>
  </w:footnote>
  <w:footnote w:type="continuationSeparator" w:id="0">
    <w:p w:rsidR="00B5730E" w:rsidRDefault="00B5730E" w:rsidP="001334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19" w:rsidRDefault="00133419" w:rsidP="00133419">
    <w:pPr>
      <w:pStyle w:val="Titre"/>
      <w:rPr>
        <w:sz w:val="36"/>
      </w:rPr>
    </w:pPr>
    <w:r>
      <w:rPr>
        <w:sz w:val="36"/>
      </w:rPr>
      <w:t>9</w:t>
    </w:r>
    <w:r w:rsidRPr="009543CA">
      <w:rPr>
        <w:sz w:val="36"/>
        <w:vertAlign w:val="superscript"/>
      </w:rPr>
      <w:t>ème</w:t>
    </w:r>
    <w:r>
      <w:rPr>
        <w:sz w:val="36"/>
      </w:rPr>
      <w:t xml:space="preserve"> Congrès International Francophone de la Société de Pathologie Exotique, en partenariat avec la Société Médicale d’Afrique Noire de Langue Française</w:t>
    </w:r>
  </w:p>
  <w:p w:rsidR="00133419" w:rsidRDefault="00133419" w:rsidP="00133419">
    <w:pPr>
      <w:pStyle w:val="Titre"/>
      <w:rPr>
        <w:sz w:val="36"/>
      </w:rPr>
    </w:pPr>
    <w:r>
      <w:rPr>
        <w:sz w:val="36"/>
      </w:rPr>
      <w:t>Dakar, 12-14 novembre 2013</w:t>
    </w:r>
  </w:p>
  <w:p w:rsidR="00133419" w:rsidRPr="00634EF7" w:rsidRDefault="00133419" w:rsidP="00133419">
    <w:pPr>
      <w:pStyle w:val="Sous-titre"/>
      <w:jc w:val="center"/>
      <w:rPr>
        <w:smallCaps/>
        <w:color w:val="800000"/>
        <w:sz w:val="28"/>
      </w:rPr>
    </w:pPr>
    <w:r w:rsidRPr="00634EF7">
      <w:rPr>
        <w:smallCaps/>
        <w:color w:val="800000"/>
        <w:sz w:val="28"/>
      </w:rPr>
      <w:t>Proposition de communication</w:t>
    </w:r>
  </w:p>
  <w:p w:rsidR="00133419" w:rsidRDefault="00133419" w:rsidP="00133419">
    <w:pPr>
      <w:pStyle w:val="En-tte"/>
    </w:pPr>
  </w:p>
  <w:p w:rsidR="00133419" w:rsidRDefault="00133419" w:rsidP="00133419">
    <w:pPr>
      <w:pStyle w:val="En-tte"/>
      <w:rPr>
        <w:rFonts w:ascii="Verdana" w:hAnsi="Verdana"/>
        <w:sz w:val="20"/>
        <w:szCs w:val="20"/>
      </w:rPr>
    </w:pPr>
    <w:r>
      <w:t>Les résumés seront soumis de préférence en ligne sur le site de la conférence.</w:t>
    </w:r>
    <w:r>
      <w:rPr>
        <w:rFonts w:ascii="Verdana" w:hAnsi="Verdana"/>
        <w:sz w:val="20"/>
        <w:szCs w:val="20"/>
      </w:rPr>
      <w:br/>
    </w:r>
    <w:r>
      <w:rPr>
        <w:rFonts w:ascii="Verdana" w:hAnsi="Verdana"/>
        <w:sz w:val="20"/>
        <w:szCs w:val="20"/>
      </w:rPr>
      <w:fldChar w:fldCharType="begin"/>
    </w:r>
    <w:r>
      <w:rPr>
        <w:rFonts w:ascii="Verdana" w:hAnsi="Verdana"/>
        <w:sz w:val="20"/>
        <w:szCs w:val="20"/>
      </w:rPr>
      <w:instrText xml:space="preserve"> </w:instrText>
    </w:r>
    <w:r w:rsidR="004C515A">
      <w:rPr>
        <w:rFonts w:ascii="Verdana" w:hAnsi="Verdana"/>
        <w:sz w:val="20"/>
        <w:szCs w:val="20"/>
      </w:rPr>
      <w:instrText>HYPERLINK</w:instrText>
    </w:r>
    <w:r>
      <w:rPr>
        <w:rFonts w:ascii="Verdana" w:hAnsi="Verdana"/>
        <w:sz w:val="20"/>
        <w:szCs w:val="20"/>
      </w:rPr>
      <w:instrText xml:space="preserve"> "http://spe-smanlf-2013.sciencesconf.org/" \o "Dkr soumission resume" \t "_blank" </w:instrText>
    </w:r>
    <w:r w:rsidRPr="009A235A">
      <w:rPr>
        <w:rFonts w:ascii="Verdana" w:hAnsi="Verdana"/>
        <w:sz w:val="20"/>
        <w:szCs w:val="20"/>
      </w:rPr>
    </w:r>
    <w:r>
      <w:rPr>
        <w:rFonts w:ascii="Verdana" w:hAnsi="Verdana"/>
        <w:sz w:val="20"/>
        <w:szCs w:val="20"/>
      </w:rPr>
      <w:fldChar w:fldCharType="separate"/>
    </w:r>
    <w:r>
      <w:rPr>
        <w:rStyle w:val="Lienhypertexte"/>
        <w:rFonts w:ascii="Verdana" w:hAnsi="Verdana"/>
        <w:color w:val="0B36A2"/>
        <w:sz w:val="20"/>
        <w:szCs w:val="20"/>
      </w:rPr>
      <w:t>http://spe-smanlf-2013.sciencesconf.org</w:t>
    </w:r>
    <w:r>
      <w:rPr>
        <w:rFonts w:ascii="Verdana" w:hAnsi="Verdana"/>
        <w:sz w:val="20"/>
        <w:szCs w:val="20"/>
      </w:rPr>
      <w:fldChar w:fldCharType="end"/>
    </w:r>
  </w:p>
  <w:p w:rsidR="00133419" w:rsidRPr="00BB7967" w:rsidRDefault="00133419" w:rsidP="00133419">
    <w:pPr>
      <w:pStyle w:val="En-tte"/>
    </w:pPr>
    <w:r>
      <w:rPr>
        <w:rFonts w:ascii="Verdana" w:hAnsi="Verdana"/>
        <w:sz w:val="20"/>
        <w:szCs w:val="20"/>
      </w:rPr>
      <w:t>Il est nécessaire de s’inscrire sur le site dédié à la conférence (indiquer un identifiant : votre email par exemple et un mot de passe). En cas de perte, ce mot de passe vous sera renvoyé par email.</w:t>
    </w:r>
  </w:p>
  <w:p w:rsidR="00133419" w:rsidRPr="009A235A" w:rsidRDefault="00133419" w:rsidP="0013341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8888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BF235E"/>
    <w:multiLevelType w:val="hybridMultilevel"/>
    <w:tmpl w:val="0192A0EE"/>
    <w:lvl w:ilvl="0" w:tplc="CDD638E0">
      <w:numFmt w:val="bullet"/>
      <w:lvlText w:val="-"/>
      <w:lvlJc w:val="left"/>
      <w:pPr>
        <w:tabs>
          <w:tab w:val="num" w:pos="780"/>
        </w:tabs>
        <w:ind w:left="78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bullet"/>
      <w:lvlText w:val=""/>
      <w:lvlJc w:val="left"/>
      <w:pPr>
        <w:tabs>
          <w:tab w:val="num" w:pos="2940"/>
        </w:tabs>
        <w:ind w:left="294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500775CF"/>
    <w:multiLevelType w:val="hybridMultilevel"/>
    <w:tmpl w:val="F76A65F4"/>
    <w:lvl w:ilvl="0" w:tplc="84203DD2">
      <w:start w:val="5"/>
      <w:numFmt w:val="bullet"/>
      <w:lvlText w:val=""/>
      <w:lvlJc w:val="left"/>
      <w:pPr>
        <w:tabs>
          <w:tab w:val="num" w:pos="720"/>
        </w:tabs>
        <w:ind w:left="720" w:hanging="360"/>
      </w:pPr>
      <w:rPr>
        <w:rFonts w:ascii="Symbol" w:eastAsia="Times New Roman" w:hAnsi="Symbol" w:cs="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A6001FE"/>
    <w:multiLevelType w:val="hybridMultilevel"/>
    <w:tmpl w:val="525E408E"/>
    <w:lvl w:ilvl="0" w:tplc="1D327ED0">
      <w:start w:val="5"/>
      <w:numFmt w:val="bullet"/>
      <w:lvlText w:val=""/>
      <w:lvlJc w:val="left"/>
      <w:pPr>
        <w:tabs>
          <w:tab w:val="num" w:pos="720"/>
        </w:tabs>
        <w:ind w:left="720" w:hanging="360"/>
      </w:pPr>
      <w:rPr>
        <w:rFonts w:ascii="Symbol" w:eastAsia="Times New Roman" w:hAnsi="Symbol" w:cs="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SortMethod w:val="000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DA"/>
    <w:rsid w:val="00133419"/>
    <w:rsid w:val="004C515A"/>
    <w:rsid w:val="00776684"/>
    <w:rsid w:val="009C283D"/>
    <w:rsid w:val="00B5730E"/>
    <w:rsid w:val="00C94E9F"/>
    <w:rsid w:val="00F67274"/>
  </w:rsids>
  <m:mathPr>
    <m:mathFont m:val="Cambria Math"/>
    <m:brkBin m:val="before"/>
    <m:brkBinSub m:val="--"/>
    <m:smallFrac m:val="0"/>
    <m:dispDef m:val="0"/>
    <m:lMargin m:val="0"/>
    <m:rMargin m:val="0"/>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paragraph" w:styleId="Titre1">
    <w:name w:val="heading 1"/>
    <w:basedOn w:val="Normal"/>
    <w:next w:val="Normal"/>
    <w:qFormat/>
    <w:pPr>
      <w:keepNext/>
      <w:framePr w:hSpace="141" w:wrap="notBeside" w:vAnchor="text" w:hAnchor="margin" w:y="-90"/>
      <w:outlineLvl w:val="0"/>
    </w:pPr>
    <w:rPr>
      <w:rFonts w:ascii="Arial" w:hAnsi="Arial" w:cs="Arial"/>
      <w:sz w:val="44"/>
    </w:rPr>
  </w:style>
  <w:style w:type="paragraph" w:styleId="Titre2">
    <w:name w:val="heading 2"/>
    <w:basedOn w:val="Normal"/>
    <w:next w:val="Normal"/>
    <w:qFormat/>
    <w:pPr>
      <w:keepNext/>
      <w:jc w:val="center"/>
      <w:outlineLvl w:val="1"/>
    </w:pPr>
    <w:rPr>
      <w:rFonts w:ascii="Arial" w:hAnsi="Arial" w:cs="Arial"/>
      <w:b/>
      <w:bCs/>
      <w:sz w:val="3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Corpsdetexte">
    <w:name w:val="Body Text"/>
    <w:basedOn w:val="Normal"/>
    <w:semiHidden/>
    <w:pPr>
      <w:jc w:val="both"/>
    </w:pPr>
    <w:rPr>
      <w:rFonts w:ascii="Arial" w:hAnsi="Arial" w:cs="Arial"/>
      <w:sz w:val="20"/>
    </w:rPr>
  </w:style>
  <w:style w:type="paragraph" w:styleId="Corpsdetexte2">
    <w:name w:val="Body Text 2"/>
    <w:basedOn w:val="Normal"/>
    <w:semiHidden/>
    <w:pPr>
      <w:jc w:val="both"/>
    </w:pPr>
    <w:rPr>
      <w:rFonts w:ascii="Arial" w:hAnsi="Arial" w:cs="Arial"/>
      <w:b/>
      <w:bCs/>
    </w:rPr>
  </w:style>
  <w:style w:type="paragraph" w:styleId="Corpsdetexte3">
    <w:name w:val="Body Text 3"/>
    <w:basedOn w:val="Normal"/>
    <w:semiHidden/>
    <w:pPr>
      <w:jc w:val="both"/>
    </w:pPr>
    <w:rPr>
      <w:rFonts w:ascii="Arial" w:hAnsi="Arial" w:cs="Arial"/>
    </w:rPr>
  </w:style>
  <w:style w:type="paragraph" w:styleId="En-tte">
    <w:name w:val="header"/>
    <w:basedOn w:val="Normal"/>
    <w:link w:val="En-tteCar"/>
    <w:uiPriority w:val="99"/>
    <w:unhideWhenUsed/>
    <w:rsid w:val="00086C5A"/>
    <w:pPr>
      <w:tabs>
        <w:tab w:val="center" w:pos="4536"/>
        <w:tab w:val="right" w:pos="9072"/>
      </w:tabs>
    </w:pPr>
  </w:style>
  <w:style w:type="character" w:customStyle="1" w:styleId="En-tteCar">
    <w:name w:val="En-tête Car"/>
    <w:link w:val="En-tte"/>
    <w:uiPriority w:val="99"/>
    <w:rsid w:val="00086C5A"/>
    <w:rPr>
      <w:sz w:val="24"/>
      <w:szCs w:val="24"/>
    </w:rPr>
  </w:style>
  <w:style w:type="paragraph" w:styleId="Pieddepage">
    <w:name w:val="footer"/>
    <w:basedOn w:val="Normal"/>
    <w:link w:val="PieddepageCar"/>
    <w:uiPriority w:val="99"/>
    <w:unhideWhenUsed/>
    <w:rsid w:val="00086C5A"/>
    <w:pPr>
      <w:tabs>
        <w:tab w:val="center" w:pos="4536"/>
        <w:tab w:val="right" w:pos="9072"/>
      </w:tabs>
    </w:pPr>
  </w:style>
  <w:style w:type="character" w:customStyle="1" w:styleId="PieddepageCar">
    <w:name w:val="Pied de page Car"/>
    <w:link w:val="Pieddepage"/>
    <w:uiPriority w:val="99"/>
    <w:rsid w:val="00086C5A"/>
    <w:rPr>
      <w:sz w:val="24"/>
      <w:szCs w:val="24"/>
    </w:rPr>
  </w:style>
  <w:style w:type="paragraph" w:styleId="Textedebulles">
    <w:name w:val="Balloon Text"/>
    <w:basedOn w:val="Normal"/>
    <w:link w:val="TextedebullesCar"/>
    <w:uiPriority w:val="99"/>
    <w:semiHidden/>
    <w:unhideWhenUsed/>
    <w:rsid w:val="00086C5A"/>
    <w:rPr>
      <w:rFonts w:ascii="Tahoma" w:hAnsi="Tahoma" w:cs="Tahoma"/>
      <w:sz w:val="16"/>
      <w:szCs w:val="16"/>
    </w:rPr>
  </w:style>
  <w:style w:type="character" w:customStyle="1" w:styleId="TextedebullesCar">
    <w:name w:val="Texte de bulles Car"/>
    <w:link w:val="Textedebulles"/>
    <w:uiPriority w:val="99"/>
    <w:semiHidden/>
    <w:rsid w:val="00086C5A"/>
    <w:rPr>
      <w:rFonts w:ascii="Tahoma" w:hAnsi="Tahoma" w:cs="Tahoma"/>
      <w:sz w:val="16"/>
      <w:szCs w:val="16"/>
    </w:rPr>
  </w:style>
  <w:style w:type="paragraph" w:styleId="Titre">
    <w:name w:val="Title"/>
    <w:basedOn w:val="Normal"/>
    <w:qFormat/>
    <w:rsid w:val="00BB7967"/>
    <w:pPr>
      <w:jc w:val="center"/>
    </w:pPr>
    <w:rPr>
      <w:b/>
      <w:bCs/>
      <w:sz w:val="32"/>
    </w:rPr>
  </w:style>
  <w:style w:type="paragraph" w:styleId="Sous-titre">
    <w:name w:val="Subtitle"/>
    <w:basedOn w:val="Normal"/>
    <w:qFormat/>
    <w:rsid w:val="00BB7967"/>
    <w:pPr>
      <w:jc w:val="right"/>
    </w:pPr>
    <w:rPr>
      <w:b/>
      <w:bCs/>
    </w:rPr>
  </w:style>
  <w:style w:type="character" w:styleId="Lienhypertextesuivi">
    <w:name w:val="FollowedHyperlink"/>
    <w:uiPriority w:val="99"/>
    <w:semiHidden/>
    <w:unhideWhenUsed/>
    <w:rsid w:val="00F67274"/>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paragraph" w:styleId="Titre1">
    <w:name w:val="heading 1"/>
    <w:basedOn w:val="Normal"/>
    <w:next w:val="Normal"/>
    <w:qFormat/>
    <w:pPr>
      <w:keepNext/>
      <w:framePr w:hSpace="141" w:wrap="notBeside" w:vAnchor="text" w:hAnchor="margin" w:y="-90"/>
      <w:outlineLvl w:val="0"/>
    </w:pPr>
    <w:rPr>
      <w:rFonts w:ascii="Arial" w:hAnsi="Arial" w:cs="Arial"/>
      <w:sz w:val="44"/>
    </w:rPr>
  </w:style>
  <w:style w:type="paragraph" w:styleId="Titre2">
    <w:name w:val="heading 2"/>
    <w:basedOn w:val="Normal"/>
    <w:next w:val="Normal"/>
    <w:qFormat/>
    <w:pPr>
      <w:keepNext/>
      <w:jc w:val="center"/>
      <w:outlineLvl w:val="1"/>
    </w:pPr>
    <w:rPr>
      <w:rFonts w:ascii="Arial" w:hAnsi="Arial" w:cs="Arial"/>
      <w:b/>
      <w:bCs/>
      <w:sz w:val="3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Corpsdetexte">
    <w:name w:val="Body Text"/>
    <w:basedOn w:val="Normal"/>
    <w:semiHidden/>
    <w:pPr>
      <w:jc w:val="both"/>
    </w:pPr>
    <w:rPr>
      <w:rFonts w:ascii="Arial" w:hAnsi="Arial" w:cs="Arial"/>
      <w:sz w:val="20"/>
    </w:rPr>
  </w:style>
  <w:style w:type="paragraph" w:styleId="Corpsdetexte2">
    <w:name w:val="Body Text 2"/>
    <w:basedOn w:val="Normal"/>
    <w:semiHidden/>
    <w:pPr>
      <w:jc w:val="both"/>
    </w:pPr>
    <w:rPr>
      <w:rFonts w:ascii="Arial" w:hAnsi="Arial" w:cs="Arial"/>
      <w:b/>
      <w:bCs/>
    </w:rPr>
  </w:style>
  <w:style w:type="paragraph" w:styleId="Corpsdetexte3">
    <w:name w:val="Body Text 3"/>
    <w:basedOn w:val="Normal"/>
    <w:semiHidden/>
    <w:pPr>
      <w:jc w:val="both"/>
    </w:pPr>
    <w:rPr>
      <w:rFonts w:ascii="Arial" w:hAnsi="Arial" w:cs="Arial"/>
    </w:rPr>
  </w:style>
  <w:style w:type="paragraph" w:styleId="En-tte">
    <w:name w:val="header"/>
    <w:basedOn w:val="Normal"/>
    <w:link w:val="En-tteCar"/>
    <w:uiPriority w:val="99"/>
    <w:unhideWhenUsed/>
    <w:rsid w:val="00086C5A"/>
    <w:pPr>
      <w:tabs>
        <w:tab w:val="center" w:pos="4536"/>
        <w:tab w:val="right" w:pos="9072"/>
      </w:tabs>
    </w:pPr>
  </w:style>
  <w:style w:type="character" w:customStyle="1" w:styleId="En-tteCar">
    <w:name w:val="En-tête Car"/>
    <w:link w:val="En-tte"/>
    <w:uiPriority w:val="99"/>
    <w:rsid w:val="00086C5A"/>
    <w:rPr>
      <w:sz w:val="24"/>
      <w:szCs w:val="24"/>
    </w:rPr>
  </w:style>
  <w:style w:type="paragraph" w:styleId="Pieddepage">
    <w:name w:val="footer"/>
    <w:basedOn w:val="Normal"/>
    <w:link w:val="PieddepageCar"/>
    <w:uiPriority w:val="99"/>
    <w:unhideWhenUsed/>
    <w:rsid w:val="00086C5A"/>
    <w:pPr>
      <w:tabs>
        <w:tab w:val="center" w:pos="4536"/>
        <w:tab w:val="right" w:pos="9072"/>
      </w:tabs>
    </w:pPr>
  </w:style>
  <w:style w:type="character" w:customStyle="1" w:styleId="PieddepageCar">
    <w:name w:val="Pied de page Car"/>
    <w:link w:val="Pieddepage"/>
    <w:uiPriority w:val="99"/>
    <w:rsid w:val="00086C5A"/>
    <w:rPr>
      <w:sz w:val="24"/>
      <w:szCs w:val="24"/>
    </w:rPr>
  </w:style>
  <w:style w:type="paragraph" w:styleId="Textedebulles">
    <w:name w:val="Balloon Text"/>
    <w:basedOn w:val="Normal"/>
    <w:link w:val="TextedebullesCar"/>
    <w:uiPriority w:val="99"/>
    <w:semiHidden/>
    <w:unhideWhenUsed/>
    <w:rsid w:val="00086C5A"/>
    <w:rPr>
      <w:rFonts w:ascii="Tahoma" w:hAnsi="Tahoma" w:cs="Tahoma"/>
      <w:sz w:val="16"/>
      <w:szCs w:val="16"/>
    </w:rPr>
  </w:style>
  <w:style w:type="character" w:customStyle="1" w:styleId="TextedebullesCar">
    <w:name w:val="Texte de bulles Car"/>
    <w:link w:val="Textedebulles"/>
    <w:uiPriority w:val="99"/>
    <w:semiHidden/>
    <w:rsid w:val="00086C5A"/>
    <w:rPr>
      <w:rFonts w:ascii="Tahoma" w:hAnsi="Tahoma" w:cs="Tahoma"/>
      <w:sz w:val="16"/>
      <w:szCs w:val="16"/>
    </w:rPr>
  </w:style>
  <w:style w:type="paragraph" w:styleId="Titre">
    <w:name w:val="Title"/>
    <w:basedOn w:val="Normal"/>
    <w:qFormat/>
    <w:rsid w:val="00BB7967"/>
    <w:pPr>
      <w:jc w:val="center"/>
    </w:pPr>
    <w:rPr>
      <w:b/>
      <w:bCs/>
      <w:sz w:val="32"/>
    </w:rPr>
  </w:style>
  <w:style w:type="paragraph" w:styleId="Sous-titre">
    <w:name w:val="Subtitle"/>
    <w:basedOn w:val="Normal"/>
    <w:qFormat/>
    <w:rsid w:val="00BB7967"/>
    <w:pPr>
      <w:jc w:val="right"/>
    </w:pPr>
    <w:rPr>
      <w:b/>
      <w:bCs/>
    </w:rPr>
  </w:style>
  <w:style w:type="character" w:styleId="Lienhypertextesuivi">
    <w:name w:val="FollowedHyperlink"/>
    <w:uiPriority w:val="99"/>
    <w:semiHidden/>
    <w:unhideWhenUsed/>
    <w:rsid w:val="00F672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71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ocpatex@pasteur.fr"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2979</Characters>
  <Application>Microsoft Macintosh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XIIèmes Actualités du Pharo</vt:lpstr>
    </vt:vector>
  </TitlesOfParts>
  <Company>Service de Santé des Armées</Company>
  <LinksUpToDate>false</LinksUpToDate>
  <CharactersWithSpaces>3513</CharactersWithSpaces>
  <SharedDoc>false</SharedDoc>
  <HLinks>
    <vt:vector size="12" baseType="variant">
      <vt:variant>
        <vt:i4>655403</vt:i4>
      </vt:variant>
      <vt:variant>
        <vt:i4>0</vt:i4>
      </vt:variant>
      <vt:variant>
        <vt:i4>0</vt:i4>
      </vt:variant>
      <vt:variant>
        <vt:i4>5</vt:i4>
      </vt:variant>
      <vt:variant>
        <vt:lpwstr>mailto:socpatex@pasteur.fr</vt:lpwstr>
      </vt:variant>
      <vt:variant>
        <vt:lpwstr/>
      </vt:variant>
      <vt:variant>
        <vt:i4>131083</vt:i4>
      </vt:variant>
      <vt:variant>
        <vt:i4>0</vt:i4>
      </vt:variant>
      <vt:variant>
        <vt:i4>0</vt:i4>
      </vt:variant>
      <vt:variant>
        <vt:i4>5</vt:i4>
      </vt:variant>
      <vt:variant>
        <vt:lpwstr>http://spe-smanlf-2013.sciencesconf.org/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XIIèmes Actualités du Pharo</dc:title>
  <dc:subject/>
  <dc:creator>Gillet</dc:creator>
  <cp:keywords/>
  <cp:lastModifiedBy>Cheikh SOKHNA</cp:lastModifiedBy>
  <cp:revision>2</cp:revision>
  <dcterms:created xsi:type="dcterms:W3CDTF">2013-09-03T17:23:00Z</dcterms:created>
  <dcterms:modified xsi:type="dcterms:W3CDTF">2013-09-03T17:23:00Z</dcterms:modified>
</cp:coreProperties>
</file>