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19" w:rsidRDefault="00133419">
      <w:pPr>
        <w:jc w:val="center"/>
        <w:rPr>
          <w:rFonts w:ascii="Calibri" w:hAnsi="Calibri" w:cs="Arial"/>
          <w:b/>
          <w:bCs/>
          <w:sz w:val="28"/>
        </w:rPr>
      </w:pPr>
      <w:bookmarkStart w:id="0" w:name="_GoBack"/>
      <w:bookmarkEnd w:id="0"/>
    </w:p>
    <w:p w:rsidR="00133419" w:rsidRPr="007015A7" w:rsidRDefault="00133419" w:rsidP="00133419">
      <w:pPr>
        <w:jc w:val="center"/>
        <w:rPr>
          <w:rFonts w:ascii="Calibri" w:hAnsi="Calibri" w:cs="Arial"/>
          <w:sz w:val="22"/>
          <w:szCs w:val="22"/>
        </w:rPr>
      </w:pPr>
      <w:r w:rsidRPr="007015A7">
        <w:rPr>
          <w:rFonts w:ascii="Calibri" w:hAnsi="Calibri" w:cs="Arial"/>
          <w:sz w:val="22"/>
          <w:szCs w:val="22"/>
        </w:rPr>
        <w:t xml:space="preserve">Les propositions de communication comprenant le résumé (400 mots maximum) doivent parvenir </w:t>
      </w:r>
    </w:p>
    <w:p w:rsidR="00133419" w:rsidRPr="007015A7" w:rsidRDefault="00133419" w:rsidP="00133419">
      <w:pPr>
        <w:jc w:val="center"/>
        <w:rPr>
          <w:rFonts w:ascii="Calibri" w:hAnsi="Calibri" w:cs="Arial"/>
          <w:sz w:val="22"/>
          <w:szCs w:val="22"/>
        </w:rPr>
      </w:pPr>
      <w:r w:rsidRPr="007015A7">
        <w:rPr>
          <w:rFonts w:ascii="Calibri" w:hAnsi="Calibri" w:cs="Arial"/>
          <w:b/>
          <w:bCs/>
          <w:sz w:val="22"/>
          <w:szCs w:val="22"/>
        </w:rPr>
        <w:t>par courrier électronique à</w:t>
      </w:r>
    </w:p>
    <w:p w:rsidR="00133419" w:rsidRPr="007015A7" w:rsidRDefault="00B058C2" w:rsidP="00133419">
      <w:pPr>
        <w:jc w:val="center"/>
        <w:rPr>
          <w:rFonts w:ascii="Calibri" w:hAnsi="Calibri" w:cs="Arial"/>
          <w:b/>
          <w:bCs/>
          <w:sz w:val="22"/>
          <w:szCs w:val="22"/>
        </w:rPr>
      </w:pPr>
      <w:hyperlink r:id="rId7" w:history="1">
        <w:r w:rsidR="00133419" w:rsidRPr="007015A7">
          <w:rPr>
            <w:rStyle w:val="Lienhypertexte"/>
            <w:rFonts w:ascii="Calibri" w:hAnsi="Calibri" w:cs="Arial"/>
            <w:b/>
            <w:sz w:val="22"/>
            <w:szCs w:val="22"/>
          </w:rPr>
          <w:t>socpatex@pasteur.fr</w:t>
        </w:r>
      </w:hyperlink>
      <w:r w:rsidR="00133419" w:rsidRPr="007015A7">
        <w:rPr>
          <w:rFonts w:ascii="Calibri" w:hAnsi="Calibri" w:cs="Arial"/>
          <w:b/>
          <w:sz w:val="22"/>
          <w:szCs w:val="22"/>
        </w:rPr>
        <w:t xml:space="preserve"> </w:t>
      </w:r>
      <w:r w:rsidR="00133419" w:rsidRPr="007015A7">
        <w:rPr>
          <w:rFonts w:ascii="Calibri" w:hAnsi="Calibri" w:cs="Arial"/>
          <w:b/>
          <w:bCs/>
          <w:sz w:val="22"/>
          <w:szCs w:val="22"/>
        </w:rPr>
        <w:t>avant le 4 septembre 2013</w:t>
      </w:r>
    </w:p>
    <w:p w:rsidR="00133419" w:rsidRPr="00F72B5E" w:rsidRDefault="00133419">
      <w:pPr>
        <w:jc w:val="center"/>
        <w:rPr>
          <w:rFonts w:ascii="Calibri" w:hAnsi="Calibri" w:cs="Arial"/>
          <w:b/>
          <w:bCs/>
          <w:sz w:val="28"/>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91"/>
      </w:tblGrid>
      <w:tr w:rsidR="00133419" w:rsidRPr="00F72B5E">
        <w:trPr>
          <w:trHeight w:val="1186"/>
        </w:trPr>
        <w:tc>
          <w:tcPr>
            <w:tcW w:w="9091" w:type="dxa"/>
          </w:tcPr>
          <w:p w:rsidR="00133419" w:rsidRDefault="00133419" w:rsidP="00133419">
            <w:pPr>
              <w:jc w:val="both"/>
              <w:rPr>
                <w:rFonts w:ascii="Calibri" w:hAnsi="Calibri" w:cs="Arial"/>
                <w:b/>
                <w:bCs/>
                <w:color w:val="800000"/>
              </w:rPr>
            </w:pPr>
            <w:r w:rsidRPr="00F72B5E">
              <w:rPr>
                <w:rFonts w:ascii="Calibri" w:hAnsi="Calibri" w:cs="Arial"/>
                <w:b/>
                <w:bCs/>
                <w:color w:val="800000"/>
              </w:rPr>
              <w:t>Titre de la communication :</w:t>
            </w:r>
          </w:p>
          <w:p w:rsidR="00E56822" w:rsidRPr="00E56822" w:rsidRDefault="00E56822" w:rsidP="00E56822">
            <w:pPr>
              <w:rPr>
                <w:rFonts w:ascii="Calibri" w:hAnsi="Calibri"/>
                <w:b/>
              </w:rPr>
            </w:pPr>
            <w:r w:rsidRPr="00E56822">
              <w:rPr>
                <w:rFonts w:ascii="Calibri" w:hAnsi="Calibri"/>
                <w:b/>
              </w:rPr>
              <w:t>Intérêt de la surveillance épidémiologique des fièvres non palustres au Sénégal</w:t>
            </w:r>
          </w:p>
        </w:tc>
      </w:tr>
      <w:tr w:rsidR="00133419" w:rsidRPr="00F72B5E">
        <w:trPr>
          <w:trHeight w:val="523"/>
        </w:trPr>
        <w:tc>
          <w:tcPr>
            <w:tcW w:w="9091" w:type="dxa"/>
          </w:tcPr>
          <w:p w:rsidR="00133419" w:rsidRPr="00E56822" w:rsidRDefault="00133419" w:rsidP="004210C1">
            <w:pPr>
              <w:widowControl w:val="0"/>
              <w:autoSpaceDE w:val="0"/>
              <w:autoSpaceDN w:val="0"/>
              <w:adjustRightInd w:val="0"/>
              <w:spacing w:before="35"/>
              <w:ind w:right="250"/>
              <w:jc w:val="both"/>
              <w:rPr>
                <w:rFonts w:ascii="Calibri" w:hAnsi="Calibri" w:cs="Arial"/>
                <w:b/>
                <w:bCs/>
                <w:color w:val="800000"/>
              </w:rPr>
            </w:pPr>
            <w:r w:rsidRPr="007015A7">
              <w:rPr>
                <w:rFonts w:ascii="Calibri" w:hAnsi="Calibri" w:cs="Arial"/>
                <w:b/>
                <w:bCs/>
                <w:color w:val="800000"/>
              </w:rPr>
              <w:t xml:space="preserve">Mots clefs (5 maximum) : </w:t>
            </w:r>
            <w:r w:rsidR="00E56822" w:rsidRPr="00E56822">
              <w:rPr>
                <w:rFonts w:ascii="Calibri" w:hAnsi="Calibri"/>
              </w:rPr>
              <w:t>fièvres non palustres,</w:t>
            </w:r>
            <w:r w:rsidR="004210C1" w:rsidRPr="00E56822">
              <w:rPr>
                <w:rFonts w:ascii="Calibri" w:hAnsi="Calibri"/>
              </w:rPr>
              <w:t xml:space="preserve"> maladies bactériennes fébriles</w:t>
            </w:r>
            <w:r w:rsidR="00E56822" w:rsidRPr="00E56822">
              <w:rPr>
                <w:rFonts w:ascii="Calibri" w:hAnsi="Calibri"/>
              </w:rPr>
              <w:t>, Sénégal</w:t>
            </w:r>
          </w:p>
        </w:tc>
      </w:tr>
      <w:tr w:rsidR="00133419" w:rsidRPr="00F72B5E">
        <w:trPr>
          <w:trHeight w:val="941"/>
        </w:trPr>
        <w:tc>
          <w:tcPr>
            <w:tcW w:w="9091" w:type="dxa"/>
          </w:tcPr>
          <w:p w:rsidR="00133419" w:rsidRPr="00F72B5E" w:rsidRDefault="00133419" w:rsidP="00133419">
            <w:pPr>
              <w:jc w:val="both"/>
              <w:rPr>
                <w:rFonts w:ascii="Calibri" w:hAnsi="Calibri" w:cs="Arial"/>
                <w:b/>
                <w:bCs/>
                <w:color w:val="800000"/>
              </w:rPr>
            </w:pPr>
            <w:r w:rsidRPr="00F72B5E">
              <w:rPr>
                <w:rFonts w:ascii="Calibri" w:hAnsi="Calibri" w:cs="Arial"/>
                <w:b/>
                <w:bCs/>
                <w:color w:val="800000"/>
              </w:rPr>
              <w:t>Proposée en (cocher la case) :</w:t>
            </w:r>
          </w:p>
          <w:p w:rsidR="00133419" w:rsidRPr="00F72B5E" w:rsidRDefault="009846AA" w:rsidP="00133419">
            <w:pPr>
              <w:ind w:left="3600"/>
              <w:jc w:val="both"/>
              <w:rPr>
                <w:rFonts w:ascii="Calibri" w:hAnsi="Calibri" w:cs="Arial"/>
              </w:rPr>
            </w:pPr>
            <w:r>
              <w:rPr>
                <w:rFonts w:ascii="Calibri" w:hAnsi="Calibri" w:cs="Arial"/>
              </w:rPr>
              <w:sym w:font="Wingdings" w:char="F0B5"/>
            </w:r>
            <w:r w:rsidR="00133419">
              <w:rPr>
                <w:rFonts w:ascii="Calibri" w:hAnsi="Calibri" w:cs="Arial"/>
              </w:rPr>
              <w:t xml:space="preserve"> </w:t>
            </w:r>
            <w:r w:rsidR="00133419" w:rsidRPr="00F72B5E">
              <w:rPr>
                <w:rFonts w:ascii="Calibri" w:hAnsi="Calibri" w:cs="Arial"/>
              </w:rPr>
              <w:t>Communication orale</w:t>
            </w:r>
          </w:p>
          <w:p w:rsidR="00133419" w:rsidRDefault="00133419" w:rsidP="00133419">
            <w:pPr>
              <w:ind w:left="3600"/>
              <w:jc w:val="both"/>
              <w:rPr>
                <w:rFonts w:ascii="Calibri" w:hAnsi="Calibri" w:cs="Arial"/>
              </w:rPr>
            </w:pPr>
            <w:r>
              <w:rPr>
                <w:rFonts w:ascii="Calibri" w:hAnsi="Calibri" w:cs="Arial"/>
              </w:rPr>
              <w:sym w:font="Wingdings" w:char="F0A6"/>
            </w:r>
            <w:r>
              <w:rPr>
                <w:rFonts w:ascii="Calibri" w:hAnsi="Calibri" w:cs="Arial"/>
              </w:rPr>
              <w:t xml:space="preserve"> </w:t>
            </w:r>
            <w:r w:rsidRPr="00F72B5E">
              <w:rPr>
                <w:rFonts w:ascii="Calibri" w:hAnsi="Calibri" w:cs="Arial"/>
              </w:rPr>
              <w:t>Communication affichée</w:t>
            </w:r>
          </w:p>
          <w:p w:rsidR="00133419" w:rsidRPr="00F72B5E" w:rsidRDefault="00133419" w:rsidP="00133419">
            <w:pPr>
              <w:jc w:val="both"/>
              <w:rPr>
                <w:rFonts w:ascii="Calibri" w:hAnsi="Calibri" w:cs="Arial"/>
              </w:rPr>
            </w:pPr>
          </w:p>
        </w:tc>
      </w:tr>
      <w:tr w:rsidR="00133419" w:rsidRPr="00F72B5E">
        <w:trPr>
          <w:trHeight w:val="941"/>
        </w:trPr>
        <w:tc>
          <w:tcPr>
            <w:tcW w:w="9091" w:type="dxa"/>
          </w:tcPr>
          <w:p w:rsidR="00133419" w:rsidRDefault="00133419" w:rsidP="00133419">
            <w:pPr>
              <w:jc w:val="both"/>
              <w:rPr>
                <w:rFonts w:ascii="Calibri" w:hAnsi="Calibri" w:cs="Arial"/>
                <w:b/>
                <w:bCs/>
                <w:color w:val="800000"/>
              </w:rPr>
            </w:pPr>
            <w:r>
              <w:rPr>
                <w:rFonts w:ascii="Calibri" w:hAnsi="Calibri" w:cs="Arial"/>
                <w:b/>
                <w:bCs/>
                <w:color w:val="800000"/>
              </w:rPr>
              <w:t>Communication proposée dans la session </w:t>
            </w:r>
            <w:r w:rsidRPr="00F72B5E">
              <w:rPr>
                <w:rFonts w:ascii="Calibri" w:hAnsi="Calibri" w:cs="Arial"/>
                <w:b/>
                <w:bCs/>
                <w:color w:val="800000"/>
              </w:rPr>
              <w:t>(cocher la case) :</w:t>
            </w:r>
          </w:p>
          <w:p w:rsidR="00133419" w:rsidRDefault="00133419" w:rsidP="00133419">
            <w:pPr>
              <w:ind w:left="1800"/>
              <w:jc w:val="both"/>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Paludisme et autres maladies parasitaires</w:t>
            </w:r>
          </w:p>
          <w:p w:rsidR="00133419" w:rsidRDefault="00E56822" w:rsidP="00133419">
            <w:pPr>
              <w:ind w:left="1800"/>
              <w:rPr>
                <w:rFonts w:ascii="Calibri" w:hAnsi="Calibri"/>
              </w:rPr>
            </w:pPr>
            <w:r>
              <w:rPr>
                <w:rFonts w:ascii="Calibri" w:hAnsi="Calibri" w:cs="Arial"/>
              </w:rPr>
              <w:sym w:font="Wingdings" w:char="F0B5"/>
            </w:r>
            <w:r w:rsidR="00133419">
              <w:rPr>
                <w:rFonts w:ascii="Calibri" w:hAnsi="Calibri" w:cs="Arial"/>
              </w:rPr>
              <w:t xml:space="preserve"> </w:t>
            </w:r>
            <w:r w:rsidR="00133419">
              <w:rPr>
                <w:rFonts w:ascii="Calibri" w:hAnsi="Calibri"/>
              </w:rPr>
              <w:t>Fièvres émergentes - m</w:t>
            </w:r>
            <w:r w:rsidR="00133419" w:rsidRPr="00F72B5E">
              <w:rPr>
                <w:rFonts w:ascii="Calibri" w:hAnsi="Calibri"/>
              </w:rPr>
              <w:t>aladies infectieuses tropicales négligées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nutritionnelles et diabète</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sidRPr="00F72B5E">
              <w:rPr>
                <w:rFonts w:ascii="Calibri" w:hAnsi="Calibri"/>
              </w:rPr>
              <w:t>Maladies cardiovasculaires et complications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sidRPr="00F72B5E">
              <w:rPr>
                <w:rFonts w:ascii="Calibri" w:hAnsi="Calibri" w:cs="Arial"/>
                <w:color w:val="000000"/>
              </w:rPr>
              <w:t>Epilepsies</w:t>
            </w:r>
          </w:p>
          <w:p w:rsidR="00133419" w:rsidRDefault="00133419" w:rsidP="00133419">
            <w:pPr>
              <w:ind w:left="1800"/>
              <w:jc w:val="both"/>
              <w:rPr>
                <w:rFonts w:ascii="Calibri" w:hAnsi="Calibri" w:cs="Arial"/>
                <w:color w:val="000000"/>
              </w:rPr>
            </w:pPr>
            <w:r>
              <w:rPr>
                <w:rFonts w:ascii="Calibri" w:hAnsi="Calibri" w:cs="Arial"/>
              </w:rPr>
              <w:sym w:font="Wingdings" w:char="F0A6"/>
            </w:r>
            <w:r>
              <w:rPr>
                <w:rFonts w:ascii="Calibri" w:hAnsi="Calibri" w:cs="Arial"/>
              </w:rPr>
              <w:t xml:space="preserve"> </w:t>
            </w:r>
            <w:r>
              <w:rPr>
                <w:rFonts w:ascii="Calibri" w:hAnsi="Calibri" w:cs="Arial"/>
                <w:color w:val="000000"/>
              </w:rPr>
              <w:t>Mycoses</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w:t>
            </w:r>
            <w:r w:rsidRPr="00F72B5E">
              <w:rPr>
                <w:rFonts w:ascii="Calibri" w:hAnsi="Calibri"/>
              </w:rPr>
              <w:t>ccès aux soins</w:t>
            </w:r>
            <w:r>
              <w:rPr>
                <w:rFonts w:ascii="Calibri" w:hAnsi="Calibri"/>
              </w:rPr>
              <w:t xml:space="preserve"> - </w:t>
            </w:r>
            <w:r w:rsidRPr="00F72B5E">
              <w:rPr>
                <w:rFonts w:ascii="Calibri" w:hAnsi="Calibri"/>
              </w:rPr>
              <w:t>Prise en charge VIH et sida</w:t>
            </w:r>
          </w:p>
          <w:p w:rsidR="00133419"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F</w:t>
            </w:r>
            <w:r w:rsidRPr="007015A7">
              <w:rPr>
                <w:rFonts w:ascii="Calibri" w:hAnsi="Calibri"/>
              </w:rPr>
              <w:t>inancement de la santé</w:t>
            </w:r>
            <w:r>
              <w:rPr>
                <w:rFonts w:ascii="Calibri" w:hAnsi="Calibri"/>
              </w:rPr>
              <w:t xml:space="preserve"> - R</w:t>
            </w:r>
            <w:r w:rsidRPr="007015A7">
              <w:rPr>
                <w:rFonts w:ascii="Calibri" w:hAnsi="Calibri"/>
              </w:rPr>
              <w:t>essources humaines</w:t>
            </w:r>
          </w:p>
          <w:p w:rsidR="00133419" w:rsidRPr="00F72B5E" w:rsidRDefault="00133419" w:rsidP="00133419">
            <w:pPr>
              <w:ind w:left="1800"/>
              <w:rPr>
                <w:rFonts w:ascii="Calibri" w:hAnsi="Calibri"/>
              </w:rPr>
            </w:pPr>
            <w:r>
              <w:rPr>
                <w:rFonts w:ascii="Calibri" w:hAnsi="Calibri" w:cs="Arial"/>
              </w:rPr>
              <w:sym w:font="Wingdings" w:char="F0A6"/>
            </w:r>
            <w:r>
              <w:rPr>
                <w:rFonts w:ascii="Calibri" w:hAnsi="Calibri" w:cs="Arial"/>
              </w:rPr>
              <w:t xml:space="preserve">  </w:t>
            </w:r>
            <w:r>
              <w:rPr>
                <w:rFonts w:ascii="Calibri" w:hAnsi="Calibri"/>
              </w:rPr>
              <w:t>Anthropologie de la santé</w:t>
            </w:r>
          </w:p>
        </w:tc>
      </w:tr>
      <w:tr w:rsidR="00133419" w:rsidRPr="00F72B5E">
        <w:trPr>
          <w:trHeight w:val="612"/>
        </w:trPr>
        <w:tc>
          <w:tcPr>
            <w:tcW w:w="9091" w:type="dxa"/>
          </w:tcPr>
          <w:p w:rsidR="00E56822" w:rsidRPr="00E56822" w:rsidRDefault="00133419" w:rsidP="00E56822">
            <w:pPr>
              <w:pStyle w:val="Corpsdetexte"/>
              <w:jc w:val="left"/>
              <w:rPr>
                <w:rFonts w:ascii="Times New Roman" w:hAnsi="Times New Roman" w:cs="Times New Roman"/>
                <w:sz w:val="24"/>
              </w:rPr>
            </w:pPr>
            <w:r w:rsidRPr="00F72B5E">
              <w:rPr>
                <w:rFonts w:ascii="Calibri" w:hAnsi="Calibri"/>
                <w:b/>
                <w:bCs/>
                <w:color w:val="800000"/>
              </w:rPr>
              <w:t xml:space="preserve">Auteurs (noms/prénoms) : </w:t>
            </w:r>
            <w:r w:rsidR="00E56822" w:rsidRPr="00E56822">
              <w:rPr>
                <w:rFonts w:ascii="Calibri" w:hAnsi="Calibri" w:cs="Times New Roman"/>
                <w:sz w:val="24"/>
              </w:rPr>
              <w:t>Hubert Bassene, Georges Diatta, Cheikh Sokhna, Florence Fenollar, Cristina Socolovschi, Aldiouma Diallo, Philippe Parola, Michel Drancourt</w:t>
            </w:r>
            <w:r w:rsidR="00E56822" w:rsidRPr="00E56822">
              <w:rPr>
                <w:rFonts w:ascii="Calibri" w:hAnsi="Calibri" w:cs="Times New Roman"/>
                <w:sz w:val="24"/>
                <w:vertAlign w:val="subscript"/>
              </w:rPr>
              <w:t>,</w:t>
            </w:r>
            <w:r w:rsidR="00E56822" w:rsidRPr="00E56822">
              <w:rPr>
                <w:rFonts w:ascii="Calibri" w:hAnsi="Calibri" w:cs="Times New Roman"/>
                <w:sz w:val="24"/>
              </w:rPr>
              <w:t xml:space="preserve"> Jean-François Trape, </w:t>
            </w:r>
            <w:r w:rsidR="00E56822" w:rsidRPr="00E56822">
              <w:rPr>
                <w:rFonts w:ascii="Calibri" w:hAnsi="Calibri" w:cs="Times New Roman"/>
                <w:sz w:val="24"/>
                <w:vertAlign w:val="superscript"/>
              </w:rPr>
              <w:t xml:space="preserve"> </w:t>
            </w:r>
            <w:r w:rsidR="00E56822" w:rsidRPr="00E56822">
              <w:rPr>
                <w:rFonts w:ascii="Calibri" w:hAnsi="Calibri" w:cs="Times New Roman"/>
                <w:sz w:val="24"/>
              </w:rPr>
              <w:t>Didier Raoult et Oleg Mediannikov</w:t>
            </w:r>
          </w:p>
          <w:p w:rsidR="00133419" w:rsidRPr="009A235A" w:rsidRDefault="00133419">
            <w:pPr>
              <w:jc w:val="both"/>
              <w:rPr>
                <w:rFonts w:ascii="Calibri" w:hAnsi="Calibri" w:cs="Arial"/>
                <w:b/>
                <w:bCs/>
                <w:color w:val="800000"/>
              </w:rPr>
            </w:pPr>
          </w:p>
        </w:tc>
      </w:tr>
      <w:tr w:rsidR="00133419" w:rsidRPr="00F72B5E">
        <w:trPr>
          <w:trHeight w:val="989"/>
        </w:trPr>
        <w:tc>
          <w:tcPr>
            <w:tcW w:w="9091" w:type="dxa"/>
          </w:tcPr>
          <w:p w:rsidR="00133419" w:rsidRPr="009A235A" w:rsidRDefault="00133419">
            <w:pPr>
              <w:jc w:val="both"/>
              <w:rPr>
                <w:rFonts w:ascii="Calibri" w:hAnsi="Calibri" w:cs="Arial"/>
                <w:b/>
                <w:bCs/>
                <w:color w:val="800000"/>
              </w:rPr>
            </w:pPr>
            <w:r w:rsidRPr="00F72B5E">
              <w:rPr>
                <w:rFonts w:ascii="Calibri" w:hAnsi="Calibri" w:cs="Arial"/>
                <w:b/>
                <w:bCs/>
                <w:color w:val="800000"/>
              </w:rPr>
              <w:t>Adresse de correspondance de l’auteur responsable (et affiliation) :</w:t>
            </w:r>
          </w:p>
          <w:p w:rsidR="00E56822" w:rsidRPr="00E56822" w:rsidRDefault="00E56822" w:rsidP="00E56822">
            <w:pPr>
              <w:pStyle w:val="Corpsdetexte"/>
              <w:jc w:val="left"/>
              <w:rPr>
                <w:rFonts w:ascii="Calibri" w:hAnsi="Calibri"/>
                <w:sz w:val="24"/>
              </w:rPr>
            </w:pPr>
            <w:r w:rsidRPr="00E56822">
              <w:rPr>
                <w:rFonts w:ascii="Calibri" w:hAnsi="Calibri"/>
                <w:sz w:val="24"/>
              </w:rPr>
              <w:t>URMITE, UMR CNRS 6236 - IRD 198 - Aix Marseille Université, 13005 Marseille, France et Campus Universitaire IRD de Hann, BP 1386 CP 18524 Dakar, Sénégal.</w:t>
            </w:r>
          </w:p>
          <w:p w:rsidR="00133419" w:rsidRPr="00F72B5E" w:rsidRDefault="00133419" w:rsidP="00133419">
            <w:pPr>
              <w:ind w:left="777"/>
              <w:rPr>
                <w:rFonts w:ascii="Calibri" w:hAnsi="Calibri" w:cs="Arial"/>
              </w:rPr>
            </w:pPr>
          </w:p>
        </w:tc>
      </w:tr>
      <w:tr w:rsidR="00133419" w:rsidRPr="00F72B5E">
        <w:trPr>
          <w:trHeight w:val="1613"/>
        </w:trPr>
        <w:tc>
          <w:tcPr>
            <w:tcW w:w="9091" w:type="dxa"/>
          </w:tcPr>
          <w:p w:rsidR="00133419" w:rsidRPr="00947344" w:rsidRDefault="00133419" w:rsidP="00133419">
            <w:pPr>
              <w:jc w:val="both"/>
              <w:rPr>
                <w:rFonts w:ascii="Calibri" w:hAnsi="Calibri" w:cs="Arial"/>
                <w:b/>
                <w:bCs/>
                <w:color w:val="800000"/>
              </w:rPr>
            </w:pPr>
            <w:r w:rsidRPr="00947344">
              <w:rPr>
                <w:rFonts w:ascii="Calibri" w:hAnsi="Calibri" w:cs="Arial"/>
                <w:b/>
                <w:bCs/>
                <w:color w:val="800000"/>
              </w:rPr>
              <w:t xml:space="preserve">Adresse électronique :   </w:t>
            </w:r>
          </w:p>
          <w:p w:rsidR="00133419" w:rsidRPr="00E56822" w:rsidRDefault="00E56822" w:rsidP="00E56822">
            <w:pPr>
              <w:rPr>
                <w:rFonts w:ascii="Calibri" w:hAnsi="Calibri"/>
                <w:b/>
              </w:rPr>
            </w:pPr>
            <w:r w:rsidRPr="00E56822">
              <w:rPr>
                <w:rFonts w:ascii="Calibri" w:hAnsi="Calibri"/>
                <w:u w:val="single"/>
              </w:rPr>
              <w:t>olegusss1@gmail.com</w:t>
            </w:r>
          </w:p>
          <w:p w:rsidR="00133419" w:rsidRDefault="00133419" w:rsidP="00133419">
            <w:pPr>
              <w:jc w:val="both"/>
              <w:rPr>
                <w:rFonts w:ascii="Calibri" w:hAnsi="Calibri" w:cs="Arial"/>
                <w:b/>
                <w:bCs/>
                <w:color w:val="800000"/>
              </w:rPr>
            </w:pPr>
            <w:r w:rsidRPr="00947344">
              <w:rPr>
                <w:rFonts w:ascii="Calibri" w:hAnsi="Calibri" w:cs="Arial"/>
                <w:b/>
                <w:bCs/>
                <w:color w:val="800000"/>
              </w:rPr>
              <w:t>Téléphone :</w:t>
            </w:r>
          </w:p>
          <w:p w:rsidR="00E56822" w:rsidRPr="00E56822" w:rsidRDefault="00E56822" w:rsidP="00133419">
            <w:pPr>
              <w:jc w:val="both"/>
              <w:rPr>
                <w:rFonts w:ascii="Calibri" w:hAnsi="Calibri" w:cs="Arial"/>
              </w:rPr>
            </w:pPr>
            <w:r w:rsidRPr="00E56822">
              <w:rPr>
                <w:rFonts w:ascii="Calibri" w:hAnsi="Calibri" w:cs="Arial"/>
                <w:b/>
                <w:bCs/>
              </w:rPr>
              <w:t>(221) 33 849 35 80</w:t>
            </w:r>
          </w:p>
        </w:tc>
      </w:tr>
      <w:tr w:rsidR="00133419" w:rsidRPr="00F72B5E">
        <w:trPr>
          <w:trHeight w:val="10087"/>
        </w:trPr>
        <w:tc>
          <w:tcPr>
            <w:tcW w:w="9091" w:type="dxa"/>
          </w:tcPr>
          <w:p w:rsidR="00E56822" w:rsidRPr="00E56822" w:rsidRDefault="00E56822" w:rsidP="00E56822">
            <w:pPr>
              <w:rPr>
                <w:rFonts w:ascii="Calibri" w:hAnsi="Calibri"/>
                <w:b/>
              </w:rPr>
            </w:pPr>
            <w:r w:rsidRPr="00E56822">
              <w:rPr>
                <w:rFonts w:ascii="Calibri" w:hAnsi="Calibri"/>
                <w:b/>
              </w:rPr>
              <w:t>Introduction</w:t>
            </w:r>
          </w:p>
          <w:p w:rsidR="00E56822" w:rsidRDefault="00E56822" w:rsidP="00E56822">
            <w:pPr>
              <w:jc w:val="both"/>
              <w:rPr>
                <w:rFonts w:ascii="Calibri" w:hAnsi="Calibri"/>
              </w:rPr>
            </w:pPr>
            <w:r w:rsidRPr="00E56822">
              <w:rPr>
                <w:rFonts w:ascii="Calibri" w:hAnsi="Calibri"/>
                <w:color w:val="000000"/>
              </w:rPr>
              <w:t xml:space="preserve">Pendant longtemps au Sénégal, la fièvre était synonyme de paludisme. L’introduction des TDR a permis de déterminer la morbidité palustre dans les postes de santé. Les combinaisons thérapeutiques et les moustiquaires imprégnées ont considérablement réduit cette morbidité. La persistance des fièvres malgré cette baisse du paludisme a entrainé la mise en place de programmes de recherche </w:t>
            </w:r>
            <w:r w:rsidRPr="00E56822">
              <w:rPr>
                <w:rFonts w:ascii="Calibri" w:hAnsi="Calibri"/>
              </w:rPr>
              <w:t>sur les fièvres non palustres. L’objectif global  était de détecter et d’identifier les agents pathogènes responsables de fièvre afin de faciliter une prise en charge rapide et efficace des épisodes fébriles dans ces populations.</w:t>
            </w:r>
          </w:p>
          <w:p w:rsidR="00E56822" w:rsidRPr="00E56822" w:rsidRDefault="00E56822" w:rsidP="00E56822">
            <w:pPr>
              <w:jc w:val="both"/>
              <w:rPr>
                <w:rFonts w:ascii="Calibri" w:hAnsi="Calibri"/>
                <w:color w:val="000000"/>
              </w:rPr>
            </w:pPr>
          </w:p>
          <w:p w:rsidR="00E56822" w:rsidRPr="00E56822" w:rsidRDefault="00E56822" w:rsidP="00E56822">
            <w:pPr>
              <w:jc w:val="both"/>
              <w:rPr>
                <w:rFonts w:ascii="Calibri" w:hAnsi="Calibri"/>
                <w:b/>
              </w:rPr>
            </w:pPr>
            <w:r w:rsidRPr="00E56822">
              <w:rPr>
                <w:rFonts w:ascii="Calibri" w:hAnsi="Calibri"/>
                <w:b/>
              </w:rPr>
              <w:t>Méthodologie</w:t>
            </w:r>
          </w:p>
          <w:p w:rsidR="00E56822" w:rsidRPr="00E56822" w:rsidRDefault="00E56822" w:rsidP="00E56822">
            <w:pPr>
              <w:jc w:val="both"/>
              <w:rPr>
                <w:rFonts w:ascii="Calibri" w:hAnsi="Calibri"/>
              </w:rPr>
            </w:pPr>
            <w:r w:rsidRPr="00E56822">
              <w:rPr>
                <w:rFonts w:ascii="Calibri" w:hAnsi="Calibri"/>
              </w:rPr>
              <w:t>Des prélèvements de sang capillaire ont été effectués de juin 2010 à septembre 2012 chez les malades fébriles consultant dans les postes de santé de cinq sites d’éco</w:t>
            </w:r>
            <w:r w:rsidR="00760FFC">
              <w:rPr>
                <w:rFonts w:ascii="Calibri" w:hAnsi="Calibri"/>
              </w:rPr>
              <w:t>systèmes différents au Sénégal. Il s’agit de</w:t>
            </w:r>
            <w:r w:rsidRPr="00E56822">
              <w:rPr>
                <w:rFonts w:ascii="Calibri" w:hAnsi="Calibri"/>
              </w:rPr>
              <w:t xml:space="preserve"> Keur Momar Sarr, </w:t>
            </w:r>
            <w:r w:rsidRPr="00E56822">
              <w:rPr>
                <w:rStyle w:val="hps"/>
                <w:rFonts w:ascii="Calibri" w:hAnsi="Calibri"/>
              </w:rPr>
              <w:t>Niakhar et</w:t>
            </w:r>
            <w:r w:rsidRPr="00E56822">
              <w:rPr>
                <w:rFonts w:ascii="Calibri" w:hAnsi="Calibri"/>
              </w:rPr>
              <w:t xml:space="preserve"> </w:t>
            </w:r>
            <w:r w:rsidRPr="00E56822">
              <w:rPr>
                <w:rStyle w:val="hps"/>
                <w:rFonts w:ascii="Calibri" w:hAnsi="Calibri"/>
              </w:rPr>
              <w:t>Dielmo</w:t>
            </w:r>
            <w:r w:rsidRPr="00E56822">
              <w:rPr>
                <w:rStyle w:val="atn"/>
                <w:rFonts w:ascii="Calibri" w:hAnsi="Calibri"/>
              </w:rPr>
              <w:t>-</w:t>
            </w:r>
            <w:r w:rsidRPr="00E56822">
              <w:rPr>
                <w:rFonts w:ascii="Calibri" w:hAnsi="Calibri"/>
              </w:rPr>
              <w:t xml:space="preserve">Ndiop en </w:t>
            </w:r>
            <w:r w:rsidRPr="00E56822">
              <w:rPr>
                <w:rStyle w:val="hps"/>
                <w:rFonts w:ascii="Calibri" w:hAnsi="Calibri"/>
              </w:rPr>
              <w:t>zone sahélienne</w:t>
            </w:r>
            <w:r w:rsidRPr="00E56822">
              <w:rPr>
                <w:rFonts w:ascii="Calibri" w:hAnsi="Calibri"/>
              </w:rPr>
              <w:t xml:space="preserve"> </w:t>
            </w:r>
            <w:r w:rsidR="00760FFC">
              <w:rPr>
                <w:rStyle w:val="hps"/>
                <w:rFonts w:ascii="Calibri" w:hAnsi="Calibri"/>
              </w:rPr>
              <w:t>sèche ;</w:t>
            </w:r>
            <w:r w:rsidRPr="00E56822">
              <w:rPr>
                <w:rStyle w:val="hps"/>
                <w:rFonts w:ascii="Calibri" w:hAnsi="Calibri"/>
              </w:rPr>
              <w:t xml:space="preserve"> </w:t>
            </w:r>
            <w:r w:rsidRPr="00E56822">
              <w:rPr>
                <w:rStyle w:val="atn"/>
                <w:rFonts w:ascii="Calibri" w:hAnsi="Calibri"/>
              </w:rPr>
              <w:t>Oussouye</w:t>
            </w:r>
            <w:r w:rsidRPr="00E56822">
              <w:rPr>
                <w:rFonts w:ascii="Calibri" w:hAnsi="Calibri"/>
              </w:rPr>
              <w:t xml:space="preserve"> </w:t>
            </w:r>
            <w:r w:rsidRPr="00E56822">
              <w:rPr>
                <w:rStyle w:val="hps"/>
                <w:rFonts w:ascii="Calibri" w:hAnsi="Calibri"/>
              </w:rPr>
              <w:t xml:space="preserve">et Kédougou en </w:t>
            </w:r>
            <w:r w:rsidRPr="00E56822">
              <w:rPr>
                <w:rFonts w:ascii="Calibri" w:hAnsi="Calibri"/>
              </w:rPr>
              <w:t xml:space="preserve"> zone </w:t>
            </w:r>
            <w:r w:rsidRPr="00E56822">
              <w:rPr>
                <w:rStyle w:val="hps"/>
                <w:rFonts w:ascii="Calibri" w:hAnsi="Calibri"/>
              </w:rPr>
              <w:t>humide</w:t>
            </w:r>
            <w:r w:rsidRPr="00E56822">
              <w:rPr>
                <w:rFonts w:ascii="Calibri" w:hAnsi="Calibri"/>
              </w:rPr>
              <w:t xml:space="preserve"> </w:t>
            </w:r>
            <w:r w:rsidRPr="00E56822">
              <w:rPr>
                <w:rStyle w:val="hps"/>
                <w:rFonts w:ascii="Calibri" w:hAnsi="Calibri"/>
              </w:rPr>
              <w:t>sous</w:t>
            </w:r>
            <w:r w:rsidRPr="00E56822">
              <w:rPr>
                <w:rStyle w:val="atn"/>
                <w:rFonts w:ascii="Calibri" w:hAnsi="Calibri"/>
              </w:rPr>
              <w:t>-</w:t>
            </w:r>
            <w:r w:rsidRPr="00E56822">
              <w:rPr>
                <w:rFonts w:ascii="Calibri" w:hAnsi="Calibri"/>
              </w:rPr>
              <w:t>guinéenne</w:t>
            </w:r>
            <w:r w:rsidRPr="00E56822">
              <w:rPr>
                <w:rStyle w:val="hps"/>
                <w:rFonts w:ascii="Calibri" w:hAnsi="Calibri"/>
              </w:rPr>
              <w:t xml:space="preserve">. Ces échantillons ont été </w:t>
            </w:r>
            <w:r w:rsidRPr="00E56822">
              <w:rPr>
                <w:rFonts w:ascii="Calibri" w:hAnsi="Calibri"/>
              </w:rPr>
              <w:t xml:space="preserve">analysés par biologie moléculaire. A Dielmo et Ndiop, l’installation du POC a permis une recherche parallèle de </w:t>
            </w:r>
            <w:r w:rsidRPr="00E56822">
              <w:rPr>
                <w:rFonts w:ascii="Calibri" w:hAnsi="Calibri"/>
                <w:i/>
              </w:rPr>
              <w:t>Plasmodium falciparum</w:t>
            </w:r>
            <w:r w:rsidRPr="00E56822">
              <w:rPr>
                <w:rFonts w:ascii="Calibri" w:hAnsi="Calibri"/>
              </w:rPr>
              <w:t xml:space="preserve"> par TDR.</w:t>
            </w:r>
          </w:p>
          <w:p w:rsidR="00E56822" w:rsidRPr="00E56822" w:rsidRDefault="00E56822" w:rsidP="00E56822">
            <w:pPr>
              <w:jc w:val="both"/>
              <w:rPr>
                <w:rFonts w:ascii="Calibri" w:hAnsi="Calibri"/>
                <w:b/>
              </w:rPr>
            </w:pPr>
          </w:p>
          <w:p w:rsidR="00E56822" w:rsidRPr="00E56822" w:rsidRDefault="00E56822" w:rsidP="00E56822">
            <w:pPr>
              <w:jc w:val="both"/>
              <w:rPr>
                <w:rFonts w:ascii="Calibri" w:hAnsi="Calibri"/>
                <w:b/>
              </w:rPr>
            </w:pPr>
            <w:r w:rsidRPr="00E56822">
              <w:rPr>
                <w:rFonts w:ascii="Calibri" w:hAnsi="Calibri"/>
                <w:b/>
              </w:rPr>
              <w:t>Résultats</w:t>
            </w:r>
          </w:p>
          <w:p w:rsidR="00E56822" w:rsidRPr="00E56822" w:rsidRDefault="00E56822" w:rsidP="00E56822">
            <w:pPr>
              <w:jc w:val="both"/>
              <w:rPr>
                <w:rFonts w:ascii="Calibri" w:hAnsi="Calibri"/>
              </w:rPr>
            </w:pPr>
            <w:r w:rsidRPr="00E56822">
              <w:rPr>
                <w:rFonts w:ascii="Calibri" w:hAnsi="Calibri"/>
              </w:rPr>
              <w:t xml:space="preserve">Au total, 2311 échantillons ont été collectés et analysés. La prévalence globale des maladies identifiées était de 25% (579/2311). Les </w:t>
            </w:r>
            <w:r w:rsidR="00C47029">
              <w:rPr>
                <w:rFonts w:ascii="Calibri" w:hAnsi="Calibri"/>
              </w:rPr>
              <w:t>rickettsioses représentaient 15,</w:t>
            </w:r>
            <w:r w:rsidRPr="00E56822">
              <w:rPr>
                <w:rFonts w:ascii="Calibri" w:hAnsi="Calibri"/>
              </w:rPr>
              <w:t xml:space="preserve">2% (15% sont dues à </w:t>
            </w:r>
            <w:r w:rsidRPr="00E56822">
              <w:rPr>
                <w:rFonts w:ascii="Calibri" w:hAnsi="Calibri"/>
                <w:i/>
              </w:rPr>
              <w:t>Rickettsia felis</w:t>
            </w:r>
            <w:r w:rsidRPr="00E56822">
              <w:rPr>
                <w:rFonts w:ascii="Calibri" w:hAnsi="Calibri"/>
              </w:rPr>
              <w:t>), la borrélios</w:t>
            </w:r>
            <w:r w:rsidR="00C47029">
              <w:rPr>
                <w:rFonts w:ascii="Calibri" w:hAnsi="Calibri"/>
              </w:rPr>
              <w:t>e 7,</w:t>
            </w:r>
            <w:r w:rsidRPr="00E56822">
              <w:rPr>
                <w:rFonts w:ascii="Calibri" w:hAnsi="Calibri"/>
              </w:rPr>
              <w:t xml:space="preserve">2% (7% sont dues à </w:t>
            </w:r>
            <w:r w:rsidRPr="00E56822">
              <w:rPr>
                <w:rFonts w:ascii="Calibri" w:hAnsi="Calibri"/>
                <w:i/>
              </w:rPr>
              <w:t>Borrelia crocidurae</w:t>
            </w:r>
            <w:r w:rsidR="00C47029">
              <w:rPr>
                <w:rFonts w:ascii="Calibri" w:hAnsi="Calibri"/>
              </w:rPr>
              <w:t>), la maladie de whipple 1,2%, les bartonneloses 1% (0,</w:t>
            </w:r>
            <w:r w:rsidRPr="00E56822">
              <w:rPr>
                <w:rFonts w:ascii="Calibri" w:hAnsi="Calibri"/>
              </w:rPr>
              <w:t xml:space="preserve">3% sont dues à </w:t>
            </w:r>
            <w:r w:rsidRPr="00E56822">
              <w:rPr>
                <w:rFonts w:ascii="Calibri" w:hAnsi="Calibri"/>
                <w:i/>
              </w:rPr>
              <w:t>Bartonnela quintana</w:t>
            </w:r>
            <w:r w:rsidR="00C47029">
              <w:rPr>
                <w:rFonts w:ascii="Calibri" w:hAnsi="Calibri"/>
              </w:rPr>
              <w:t>) et la fièvre Q 0,</w:t>
            </w:r>
            <w:r w:rsidRPr="00E56822">
              <w:rPr>
                <w:rFonts w:ascii="Calibri" w:hAnsi="Calibri"/>
              </w:rPr>
              <w:t>4%.</w:t>
            </w:r>
          </w:p>
          <w:p w:rsidR="00E56822" w:rsidRPr="00E56822" w:rsidRDefault="00E56822" w:rsidP="00E56822">
            <w:pPr>
              <w:jc w:val="both"/>
              <w:rPr>
                <w:rFonts w:ascii="Calibri" w:hAnsi="Calibri"/>
              </w:rPr>
            </w:pPr>
            <w:r w:rsidRPr="00E56822">
              <w:rPr>
                <w:rFonts w:ascii="Calibri" w:hAnsi="Calibri"/>
              </w:rPr>
              <w:t>Dans tous les sites, nous avons une prédominance des rickettsioses suivie des borrélioses sauf à Oussouye où c’est suivi de la maladie de whipple.</w:t>
            </w:r>
          </w:p>
          <w:p w:rsidR="00E56822" w:rsidRPr="00E56822" w:rsidRDefault="00E56822" w:rsidP="00E56822">
            <w:pPr>
              <w:jc w:val="both"/>
              <w:rPr>
                <w:rFonts w:ascii="Calibri" w:hAnsi="Calibri"/>
              </w:rPr>
            </w:pPr>
            <w:r w:rsidRPr="00E56822">
              <w:rPr>
                <w:rFonts w:ascii="Calibri" w:hAnsi="Calibri"/>
              </w:rPr>
              <w:t xml:space="preserve">Si on considère le site de Dielmo et Ndiop où les gouttes épaisses sont systématiques en cas de fièvre, </w:t>
            </w:r>
            <w:r w:rsidR="00760FFC">
              <w:rPr>
                <w:rFonts w:ascii="Calibri" w:hAnsi="Calibri"/>
              </w:rPr>
              <w:t>le</w:t>
            </w:r>
            <w:r w:rsidRPr="00E56822">
              <w:rPr>
                <w:rFonts w:ascii="Calibri" w:hAnsi="Calibri"/>
              </w:rPr>
              <w:t xml:space="preserve"> paludisme </w:t>
            </w:r>
            <w:r w:rsidR="00760FFC">
              <w:rPr>
                <w:rFonts w:ascii="Calibri" w:hAnsi="Calibri"/>
              </w:rPr>
              <w:t>représentait</w:t>
            </w:r>
            <w:r w:rsidRPr="00E56822">
              <w:rPr>
                <w:rFonts w:ascii="Calibri" w:hAnsi="Calibri"/>
              </w:rPr>
              <w:t xml:space="preserve"> 11% (95/886)</w:t>
            </w:r>
            <w:r w:rsidR="00760FFC">
              <w:rPr>
                <w:rFonts w:ascii="Calibri" w:hAnsi="Calibri"/>
              </w:rPr>
              <w:t xml:space="preserve"> des motifs de consultation</w:t>
            </w:r>
            <w:r w:rsidRPr="00E56822">
              <w:rPr>
                <w:rFonts w:ascii="Calibri" w:hAnsi="Calibri"/>
              </w:rPr>
              <w:t>.</w:t>
            </w:r>
          </w:p>
          <w:p w:rsidR="00E56822" w:rsidRPr="00E56822" w:rsidRDefault="00E56822" w:rsidP="00E56822">
            <w:pPr>
              <w:jc w:val="both"/>
              <w:rPr>
                <w:rFonts w:ascii="Calibri" w:hAnsi="Calibri"/>
              </w:rPr>
            </w:pPr>
          </w:p>
          <w:p w:rsidR="00E56822" w:rsidRPr="00E56822" w:rsidRDefault="00E56822" w:rsidP="00E56822">
            <w:pPr>
              <w:jc w:val="both"/>
              <w:rPr>
                <w:rFonts w:ascii="Calibri" w:hAnsi="Calibri"/>
                <w:b/>
              </w:rPr>
            </w:pPr>
            <w:r w:rsidRPr="00E56822">
              <w:rPr>
                <w:rFonts w:ascii="Calibri" w:hAnsi="Calibri"/>
                <w:b/>
              </w:rPr>
              <w:t>Conclusion</w:t>
            </w:r>
          </w:p>
          <w:p w:rsidR="00E56822" w:rsidRPr="00E56822" w:rsidRDefault="00E56822" w:rsidP="00E56822">
            <w:pPr>
              <w:jc w:val="both"/>
              <w:rPr>
                <w:rFonts w:ascii="Calibri" w:hAnsi="Calibri"/>
              </w:rPr>
            </w:pPr>
            <w:r w:rsidRPr="00E56822">
              <w:rPr>
                <w:rFonts w:ascii="Calibri" w:hAnsi="Calibri"/>
              </w:rPr>
              <w:t>Dans le contexte de pré élimination du paludisme, cette étude a permis de mettre en évidence la prépondérance des maladies bactériennes fébriles notamment les rickettsioses (</w:t>
            </w:r>
            <w:r w:rsidRPr="00E56822">
              <w:rPr>
                <w:rFonts w:ascii="Calibri" w:hAnsi="Calibri"/>
                <w:i/>
              </w:rPr>
              <w:t>Rickettsia felis</w:t>
            </w:r>
            <w:r w:rsidRPr="00E56822">
              <w:rPr>
                <w:rFonts w:ascii="Calibri" w:hAnsi="Calibri"/>
              </w:rPr>
              <w:t>) dans les consultations au poste de santé.</w:t>
            </w:r>
          </w:p>
          <w:p w:rsidR="00133419" w:rsidRPr="00E56822" w:rsidRDefault="00E56822">
            <w:pPr>
              <w:jc w:val="both"/>
              <w:rPr>
                <w:rFonts w:ascii="Calibri" w:hAnsi="Calibri"/>
              </w:rPr>
            </w:pPr>
            <w:r w:rsidRPr="00E56822">
              <w:rPr>
                <w:rFonts w:ascii="Calibri" w:hAnsi="Calibri"/>
              </w:rPr>
              <w:t>Les perspectives de cette étude sont d’isoler les différentes souches identifiées en PCR, mais également de lutte</w:t>
            </w:r>
            <w:r w:rsidR="00760FFC">
              <w:rPr>
                <w:rFonts w:ascii="Calibri" w:hAnsi="Calibri"/>
              </w:rPr>
              <w:t>r contre la borréliose à tique dans les villages de</w:t>
            </w:r>
            <w:r w:rsidRPr="00E56822">
              <w:rPr>
                <w:rFonts w:ascii="Calibri" w:hAnsi="Calibri"/>
              </w:rPr>
              <w:t xml:space="preserve"> Dielmo et Ndiop.</w:t>
            </w:r>
          </w:p>
          <w:p w:rsidR="00133419" w:rsidRPr="00E56822" w:rsidRDefault="00133419" w:rsidP="00E56822">
            <w:pPr>
              <w:jc w:val="both"/>
              <w:rPr>
                <w:rFonts w:ascii="Calibri" w:hAnsi="Calibri" w:cs="Arial"/>
              </w:rPr>
            </w:pPr>
          </w:p>
        </w:tc>
      </w:tr>
    </w:tbl>
    <w:p w:rsidR="00133419" w:rsidRPr="00F72B5E" w:rsidRDefault="00133419" w:rsidP="00133419">
      <w:pPr>
        <w:rPr>
          <w:rFonts w:ascii="Calibri" w:hAnsi="Calibri"/>
        </w:rPr>
      </w:pPr>
    </w:p>
    <w:sectPr w:rsidR="00133419" w:rsidRPr="00F72B5E" w:rsidSect="00B058C2">
      <w:headerReference w:type="default" r:id="rId8"/>
      <w:footerReference w:type="default" r:id="rId9"/>
      <w:pgSz w:w="11906" w:h="16838"/>
      <w:pgMar w:top="540" w:right="1417" w:bottom="540"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0BC" w:rsidRDefault="003570BC" w:rsidP="00133419">
      <w:r>
        <w:separator/>
      </w:r>
    </w:p>
  </w:endnote>
  <w:endnote w:type="continuationSeparator" w:id="0">
    <w:p w:rsidR="003570BC" w:rsidRDefault="003570BC" w:rsidP="0013341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19" w:rsidRDefault="00133419">
    <w:pPr>
      <w:pStyle w:val="Pieddepage"/>
    </w:pPr>
  </w:p>
  <w:p w:rsidR="00133419" w:rsidRDefault="00133419">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0BC" w:rsidRDefault="003570BC" w:rsidP="00133419">
      <w:r>
        <w:separator/>
      </w:r>
    </w:p>
  </w:footnote>
  <w:footnote w:type="continuationSeparator" w:id="0">
    <w:p w:rsidR="003570BC" w:rsidRDefault="003570BC" w:rsidP="001334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19" w:rsidRDefault="00133419" w:rsidP="00133419">
    <w:pPr>
      <w:pStyle w:val="Titre"/>
      <w:rPr>
        <w:sz w:val="36"/>
      </w:rPr>
    </w:pPr>
    <w:r>
      <w:rPr>
        <w:sz w:val="36"/>
      </w:rPr>
      <w:t>9</w:t>
    </w:r>
    <w:r w:rsidRPr="009543CA">
      <w:rPr>
        <w:sz w:val="36"/>
        <w:vertAlign w:val="superscript"/>
      </w:rPr>
      <w:t>ème</w:t>
    </w:r>
    <w:r>
      <w:rPr>
        <w:sz w:val="36"/>
      </w:rPr>
      <w:t xml:space="preserve"> Congrès International Francophone de la Société de Pathologie Exotique, en partenariat avec la Société Médicale d’Afrique Noire de Langue Française</w:t>
    </w:r>
  </w:p>
  <w:p w:rsidR="00133419" w:rsidRDefault="00133419" w:rsidP="00133419">
    <w:pPr>
      <w:pStyle w:val="Titre"/>
      <w:rPr>
        <w:sz w:val="36"/>
      </w:rPr>
    </w:pPr>
    <w:r>
      <w:rPr>
        <w:sz w:val="36"/>
      </w:rPr>
      <w:t>Dakar, 12-14 novembre 2013</w:t>
    </w:r>
  </w:p>
  <w:p w:rsidR="00133419" w:rsidRPr="00634EF7" w:rsidRDefault="00133419" w:rsidP="00133419">
    <w:pPr>
      <w:pStyle w:val="Sous-titre"/>
      <w:jc w:val="center"/>
      <w:rPr>
        <w:smallCaps/>
        <w:color w:val="800000"/>
        <w:sz w:val="28"/>
      </w:rPr>
    </w:pPr>
    <w:r w:rsidRPr="00634EF7">
      <w:rPr>
        <w:smallCaps/>
        <w:color w:val="800000"/>
        <w:sz w:val="28"/>
      </w:rPr>
      <w:t>Proposition de communication</w:t>
    </w:r>
  </w:p>
  <w:p w:rsidR="00133419" w:rsidRDefault="00133419" w:rsidP="00133419">
    <w:pPr>
      <w:pStyle w:val="En-tte"/>
    </w:pPr>
  </w:p>
  <w:p w:rsidR="00133419" w:rsidRDefault="00133419" w:rsidP="00133419">
    <w:pPr>
      <w:pStyle w:val="En-tte"/>
      <w:rPr>
        <w:rFonts w:ascii="Verdana" w:hAnsi="Verdana"/>
        <w:sz w:val="20"/>
        <w:szCs w:val="20"/>
      </w:rPr>
    </w:pPr>
    <w:r>
      <w:t>Les résumés seront soumis de préférence en ligne sur le site de la conférence.</w:t>
    </w:r>
    <w:r>
      <w:rPr>
        <w:rFonts w:ascii="Verdana" w:hAnsi="Verdana"/>
        <w:sz w:val="20"/>
        <w:szCs w:val="20"/>
      </w:rPr>
      <w:br/>
    </w:r>
    <w:r w:rsidR="00B058C2">
      <w:rPr>
        <w:rFonts w:ascii="Verdana" w:hAnsi="Verdana"/>
        <w:sz w:val="20"/>
        <w:szCs w:val="20"/>
      </w:rPr>
      <w:fldChar w:fldCharType="begin"/>
    </w:r>
    <w:r>
      <w:rPr>
        <w:rFonts w:ascii="Verdana" w:hAnsi="Verdana"/>
        <w:sz w:val="20"/>
        <w:szCs w:val="20"/>
      </w:rPr>
      <w:instrText xml:space="preserve"> </w:instrText>
    </w:r>
    <w:r w:rsidR="00C15CD6">
      <w:rPr>
        <w:rFonts w:ascii="Verdana" w:hAnsi="Verdana"/>
        <w:sz w:val="20"/>
        <w:szCs w:val="20"/>
      </w:rPr>
      <w:instrText>HYPERLINK</w:instrText>
    </w:r>
    <w:r>
      <w:rPr>
        <w:rFonts w:ascii="Verdana" w:hAnsi="Verdana"/>
        <w:sz w:val="20"/>
        <w:szCs w:val="20"/>
      </w:rPr>
      <w:instrText xml:space="preserve"> "http://spe-smanlf-2013.sciencesconf.org/" \o "Dkr soumission resume" \t "_blank" </w:instrText>
    </w:r>
    <w:r w:rsidR="00B058C2">
      <w:rPr>
        <w:rFonts w:ascii="Verdana" w:hAnsi="Verdana"/>
        <w:sz w:val="20"/>
        <w:szCs w:val="20"/>
      </w:rPr>
      <w:fldChar w:fldCharType="separate"/>
    </w:r>
    <w:r>
      <w:rPr>
        <w:rStyle w:val="Lienhypertexte"/>
        <w:rFonts w:ascii="Verdana" w:hAnsi="Verdana"/>
        <w:color w:val="0B36A2"/>
        <w:sz w:val="20"/>
        <w:szCs w:val="20"/>
      </w:rPr>
      <w:t>http://spe-smanlf-2013.sciencesconf.org</w:t>
    </w:r>
    <w:r w:rsidR="00B058C2">
      <w:rPr>
        <w:rFonts w:ascii="Verdana" w:hAnsi="Verdana"/>
        <w:sz w:val="20"/>
        <w:szCs w:val="20"/>
      </w:rPr>
      <w:fldChar w:fldCharType="end"/>
    </w:r>
  </w:p>
  <w:p w:rsidR="00133419" w:rsidRPr="00BB7967" w:rsidRDefault="00133419" w:rsidP="00133419">
    <w:pPr>
      <w:pStyle w:val="En-tte"/>
    </w:pPr>
    <w:r>
      <w:rPr>
        <w:rFonts w:ascii="Verdana" w:hAnsi="Verdana"/>
        <w:sz w:val="20"/>
        <w:szCs w:val="20"/>
      </w:rPr>
      <w:t>Il est nécessaire de s’inscrire sur le site dédié à la conférence (indiquer un identifiant : votre email par exemple et un mot de passe). En cas de perte, ce mot de passe vous sera renvoyé par email.</w:t>
    </w:r>
  </w:p>
  <w:p w:rsidR="00133419" w:rsidRPr="009A235A" w:rsidRDefault="00133419" w:rsidP="00133419">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7C5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BF235E"/>
    <w:multiLevelType w:val="hybridMultilevel"/>
    <w:tmpl w:val="0192A0EE"/>
    <w:lvl w:ilvl="0" w:tplc="CDD638E0">
      <w:numFmt w:val="bullet"/>
      <w:lvlText w:val="-"/>
      <w:lvlJc w:val="left"/>
      <w:pPr>
        <w:tabs>
          <w:tab w:val="num" w:pos="780"/>
        </w:tabs>
        <w:ind w:left="7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00775CF"/>
    <w:multiLevelType w:val="hybridMultilevel"/>
    <w:tmpl w:val="F76A65F4"/>
    <w:lvl w:ilvl="0" w:tplc="84203DD2">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6001FE"/>
    <w:multiLevelType w:val="hybridMultilevel"/>
    <w:tmpl w:val="525E408E"/>
    <w:lvl w:ilvl="0" w:tplc="1D327ED0">
      <w:start w:val="5"/>
      <w:numFmt w:val="bullet"/>
      <w:lvlText w:val=""/>
      <w:lvlJc w:val="left"/>
      <w:pPr>
        <w:tabs>
          <w:tab w:val="num" w:pos="720"/>
        </w:tabs>
        <w:ind w:left="720" w:hanging="360"/>
      </w:pPr>
      <w:rPr>
        <w:rFonts w:ascii="Symbol" w:eastAsia="Times New Roman" w:hAnsi="Symbol" w:cs="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A348DA"/>
    <w:rsid w:val="00133419"/>
    <w:rsid w:val="00180E01"/>
    <w:rsid w:val="003570BC"/>
    <w:rsid w:val="004210C1"/>
    <w:rsid w:val="00507537"/>
    <w:rsid w:val="00760FFC"/>
    <w:rsid w:val="008E58BA"/>
    <w:rsid w:val="009846AA"/>
    <w:rsid w:val="00A348DA"/>
    <w:rsid w:val="00B058C2"/>
    <w:rsid w:val="00C15CD6"/>
    <w:rsid w:val="00C47029"/>
    <w:rsid w:val="00E56822"/>
    <w:rsid w:val="00F14083"/>
    <w:rsid w:val="00F73B3C"/>
    <w:rsid w:val="00FA36DA"/>
  </w:rsids>
  <m:mathPr>
    <m:mathFont m:val="Impact"/>
    <m:brkBin m:val="before"/>
    <m:brkBinSub m:val="--"/>
    <m:smallFrac/>
    <m:dispDef/>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C2"/>
    <w:rPr>
      <w:sz w:val="24"/>
      <w:szCs w:val="24"/>
      <w:lang w:val="fr-FR"/>
    </w:rPr>
  </w:style>
  <w:style w:type="paragraph" w:styleId="Titre1">
    <w:name w:val="heading 1"/>
    <w:basedOn w:val="Normal"/>
    <w:next w:val="Normal"/>
    <w:qFormat/>
    <w:rsid w:val="00B058C2"/>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rsid w:val="00B058C2"/>
    <w:pPr>
      <w:keepNext/>
      <w:jc w:val="center"/>
      <w:outlineLvl w:val="1"/>
    </w:pPr>
    <w:rPr>
      <w:rFonts w:ascii="Arial" w:hAnsi="Arial" w:cs="Arial"/>
      <w:b/>
      <w:bCs/>
      <w:sz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semiHidden/>
    <w:rsid w:val="00B058C2"/>
    <w:rPr>
      <w:color w:val="0000FF"/>
      <w:u w:val="single"/>
    </w:rPr>
  </w:style>
  <w:style w:type="paragraph" w:styleId="Corpsdetexte">
    <w:name w:val="Body Text"/>
    <w:basedOn w:val="Normal"/>
    <w:semiHidden/>
    <w:rsid w:val="00B058C2"/>
    <w:pPr>
      <w:jc w:val="both"/>
    </w:pPr>
    <w:rPr>
      <w:rFonts w:ascii="Arial" w:hAnsi="Arial" w:cs="Arial"/>
      <w:sz w:val="20"/>
    </w:rPr>
  </w:style>
  <w:style w:type="paragraph" w:styleId="Corpsdetexte2">
    <w:name w:val="Body Text 2"/>
    <w:basedOn w:val="Normal"/>
    <w:semiHidden/>
    <w:rsid w:val="00B058C2"/>
    <w:pPr>
      <w:jc w:val="both"/>
    </w:pPr>
    <w:rPr>
      <w:rFonts w:ascii="Arial" w:hAnsi="Arial" w:cs="Arial"/>
      <w:b/>
      <w:bCs/>
    </w:rPr>
  </w:style>
  <w:style w:type="paragraph" w:styleId="Corpsdetexte3">
    <w:name w:val="Body Text 3"/>
    <w:basedOn w:val="Normal"/>
    <w:semiHidden/>
    <w:rsid w:val="00B058C2"/>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basedOn w:val="Policepardfaut"/>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basedOn w:val="Policepardfaut"/>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basedOn w:val="Policepardfaut"/>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 w:type="character" w:customStyle="1" w:styleId="hps">
    <w:name w:val="hps"/>
    <w:basedOn w:val="Policepardfaut"/>
    <w:rsid w:val="00E56822"/>
  </w:style>
  <w:style w:type="character" w:customStyle="1" w:styleId="atn">
    <w:name w:val="atn"/>
    <w:basedOn w:val="Policepardfaut"/>
    <w:rsid w:val="00E568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paragraph" w:styleId="Titre1">
    <w:name w:val="heading 1"/>
    <w:basedOn w:val="Normal"/>
    <w:next w:val="Normal"/>
    <w:qFormat/>
    <w:pPr>
      <w:keepNext/>
      <w:framePr w:hSpace="141" w:wrap="notBeside" w:vAnchor="text" w:hAnchor="margin" w:y="-90"/>
      <w:outlineLvl w:val="0"/>
    </w:pPr>
    <w:rPr>
      <w:rFonts w:ascii="Arial" w:hAnsi="Arial" w:cs="Arial"/>
      <w:sz w:val="44"/>
    </w:rPr>
  </w:style>
  <w:style w:type="paragraph" w:styleId="Titre2">
    <w:name w:val="heading 2"/>
    <w:basedOn w:val="Normal"/>
    <w:next w:val="Normal"/>
    <w:qFormat/>
    <w:pPr>
      <w:keepNext/>
      <w:jc w:val="center"/>
      <w:outlineLvl w:val="1"/>
    </w:pPr>
    <w:rPr>
      <w:rFonts w:ascii="Arial" w:hAnsi="Arial" w:cs="Arial"/>
      <w:b/>
      <w:bCs/>
      <w:sz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paragraph" w:styleId="Corpsdetexte">
    <w:name w:val="Body Text"/>
    <w:basedOn w:val="Normal"/>
    <w:semiHidden/>
    <w:pPr>
      <w:jc w:val="both"/>
    </w:pPr>
    <w:rPr>
      <w:rFonts w:ascii="Arial" w:hAnsi="Arial" w:cs="Arial"/>
      <w:sz w:val="20"/>
    </w:rPr>
  </w:style>
  <w:style w:type="paragraph" w:styleId="Corpsdetexte2">
    <w:name w:val="Body Text 2"/>
    <w:basedOn w:val="Normal"/>
    <w:semiHidden/>
    <w:pPr>
      <w:jc w:val="both"/>
    </w:pPr>
    <w:rPr>
      <w:rFonts w:ascii="Arial" w:hAnsi="Arial" w:cs="Arial"/>
      <w:b/>
      <w:bCs/>
    </w:rPr>
  </w:style>
  <w:style w:type="paragraph" w:styleId="Corpsdetexte3">
    <w:name w:val="Body Text 3"/>
    <w:basedOn w:val="Normal"/>
    <w:semiHidden/>
    <w:pPr>
      <w:jc w:val="both"/>
    </w:pPr>
    <w:rPr>
      <w:rFonts w:ascii="Arial" w:hAnsi="Arial" w:cs="Arial"/>
    </w:rPr>
  </w:style>
  <w:style w:type="paragraph" w:styleId="En-tte">
    <w:name w:val="header"/>
    <w:basedOn w:val="Normal"/>
    <w:link w:val="En-tteCar"/>
    <w:uiPriority w:val="99"/>
    <w:unhideWhenUsed/>
    <w:rsid w:val="00086C5A"/>
    <w:pPr>
      <w:tabs>
        <w:tab w:val="center" w:pos="4536"/>
        <w:tab w:val="right" w:pos="9072"/>
      </w:tabs>
    </w:pPr>
  </w:style>
  <w:style w:type="character" w:customStyle="1" w:styleId="En-tteCar">
    <w:name w:val="En-tête Car"/>
    <w:basedOn w:val="Policepardfaut"/>
    <w:link w:val="En-tte"/>
    <w:uiPriority w:val="99"/>
    <w:rsid w:val="00086C5A"/>
    <w:rPr>
      <w:sz w:val="24"/>
      <w:szCs w:val="24"/>
    </w:rPr>
  </w:style>
  <w:style w:type="paragraph" w:styleId="Pieddepage">
    <w:name w:val="footer"/>
    <w:basedOn w:val="Normal"/>
    <w:link w:val="PieddepageCar"/>
    <w:uiPriority w:val="99"/>
    <w:unhideWhenUsed/>
    <w:rsid w:val="00086C5A"/>
    <w:pPr>
      <w:tabs>
        <w:tab w:val="center" w:pos="4536"/>
        <w:tab w:val="right" w:pos="9072"/>
      </w:tabs>
    </w:pPr>
  </w:style>
  <w:style w:type="character" w:customStyle="1" w:styleId="PieddepageCar">
    <w:name w:val="Pied de page Car"/>
    <w:basedOn w:val="Policepardfaut"/>
    <w:link w:val="Pieddepage"/>
    <w:uiPriority w:val="99"/>
    <w:rsid w:val="00086C5A"/>
    <w:rPr>
      <w:sz w:val="24"/>
      <w:szCs w:val="24"/>
    </w:rPr>
  </w:style>
  <w:style w:type="paragraph" w:styleId="Textedebulles">
    <w:name w:val="Balloon Text"/>
    <w:basedOn w:val="Normal"/>
    <w:link w:val="TextedebullesCar"/>
    <w:uiPriority w:val="99"/>
    <w:semiHidden/>
    <w:unhideWhenUsed/>
    <w:rsid w:val="00086C5A"/>
    <w:rPr>
      <w:rFonts w:ascii="Tahoma" w:hAnsi="Tahoma" w:cs="Tahoma"/>
      <w:sz w:val="16"/>
      <w:szCs w:val="16"/>
    </w:rPr>
  </w:style>
  <w:style w:type="character" w:customStyle="1" w:styleId="TextedebullesCar">
    <w:name w:val="Texte de bulles Car"/>
    <w:basedOn w:val="Policepardfaut"/>
    <w:link w:val="Textedebulles"/>
    <w:uiPriority w:val="99"/>
    <w:semiHidden/>
    <w:rsid w:val="00086C5A"/>
    <w:rPr>
      <w:rFonts w:ascii="Tahoma" w:hAnsi="Tahoma" w:cs="Tahoma"/>
      <w:sz w:val="16"/>
      <w:szCs w:val="16"/>
    </w:rPr>
  </w:style>
  <w:style w:type="paragraph" w:styleId="Titre">
    <w:name w:val="Title"/>
    <w:basedOn w:val="Normal"/>
    <w:qFormat/>
    <w:rsid w:val="00BB7967"/>
    <w:pPr>
      <w:jc w:val="center"/>
    </w:pPr>
    <w:rPr>
      <w:b/>
      <w:bCs/>
      <w:sz w:val="32"/>
    </w:rPr>
  </w:style>
  <w:style w:type="paragraph" w:styleId="Sous-titre">
    <w:name w:val="Subtitle"/>
    <w:basedOn w:val="Normal"/>
    <w:qFormat/>
    <w:rsid w:val="00BB7967"/>
    <w:pPr>
      <w:jc w:val="right"/>
    </w:pPr>
    <w:rPr>
      <w:b/>
      <w:bCs/>
    </w:rPr>
  </w:style>
  <w:style w:type="character" w:customStyle="1" w:styleId="hps">
    <w:name w:val="hps"/>
    <w:basedOn w:val="Policepardfaut"/>
    <w:rsid w:val="00E56822"/>
  </w:style>
  <w:style w:type="character" w:customStyle="1" w:styleId="atn">
    <w:name w:val="atn"/>
    <w:basedOn w:val="Policepardfaut"/>
    <w:rsid w:val="00E56822"/>
  </w:style>
</w:styles>
</file>

<file path=word/webSettings.xml><?xml version="1.0" encoding="utf-8"?>
<w:webSettings xmlns:r="http://schemas.openxmlformats.org/officeDocument/2006/relationships" xmlns:w="http://schemas.openxmlformats.org/wordprocessingml/2006/main">
  <w:divs>
    <w:div w:id="2974171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ocpatex@pasteur.f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3018</Characters>
  <Application>Microsoft Macintosh Word</Application>
  <DocSecurity>0</DocSecurity>
  <Lines>67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XIIèmes Actualités du Pharo</vt:lpstr>
      <vt:lpstr>XIIèmes Actualités du Pharo</vt:lpstr>
    </vt:vector>
  </TitlesOfParts>
  <Company>Service de Santé des Armées</Company>
  <LinksUpToDate>false</LinksUpToDate>
  <CharactersWithSpaces>3841</CharactersWithSpaces>
  <SharedDoc>false</SharedDoc>
  <HLinks>
    <vt:vector size="12" baseType="variant">
      <vt:variant>
        <vt:i4>655403</vt:i4>
      </vt:variant>
      <vt:variant>
        <vt:i4>0</vt:i4>
      </vt:variant>
      <vt:variant>
        <vt:i4>0</vt:i4>
      </vt:variant>
      <vt:variant>
        <vt:i4>5</vt:i4>
      </vt:variant>
      <vt:variant>
        <vt:lpwstr>mailto:socpatex@pasteur.fr</vt:lpwstr>
      </vt:variant>
      <vt:variant>
        <vt:lpwstr/>
      </vt:variant>
      <vt:variant>
        <vt:i4>131083</vt:i4>
      </vt:variant>
      <vt:variant>
        <vt:i4>0</vt:i4>
      </vt:variant>
      <vt:variant>
        <vt:i4>0</vt:i4>
      </vt:variant>
      <vt:variant>
        <vt:i4>5</vt:i4>
      </vt:variant>
      <vt:variant>
        <vt:lpwstr>http://spe-smanlf-2013.sciencesconf.org/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XIIèmes Actualités du Pharo</dc:title>
  <dc:subject/>
  <dc:creator>Gillet</dc:creator>
  <cp:keywords/>
  <cp:lastModifiedBy>Murielle HAMON</cp:lastModifiedBy>
  <cp:revision>2</cp:revision>
  <dcterms:created xsi:type="dcterms:W3CDTF">2013-09-08T16:28:00Z</dcterms:created>
  <dcterms:modified xsi:type="dcterms:W3CDTF">2013-09-08T16:28:00Z</dcterms:modified>
</cp:coreProperties>
</file>