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19" w:rsidRDefault="00133419">
      <w:pPr>
        <w:jc w:val="center"/>
        <w:rPr>
          <w:rFonts w:ascii="Calibri" w:hAnsi="Calibri" w:cs="Arial"/>
          <w:b/>
          <w:bCs/>
          <w:sz w:val="28"/>
        </w:rPr>
      </w:pPr>
    </w:p>
    <w:p w:rsidR="00133419" w:rsidRPr="007015A7" w:rsidRDefault="00133419" w:rsidP="00133419">
      <w:pPr>
        <w:jc w:val="center"/>
        <w:rPr>
          <w:rFonts w:ascii="Calibri" w:hAnsi="Calibri" w:cs="Arial"/>
          <w:sz w:val="22"/>
          <w:szCs w:val="22"/>
        </w:rPr>
      </w:pPr>
      <w:r w:rsidRPr="007015A7">
        <w:rPr>
          <w:rFonts w:ascii="Calibri" w:hAnsi="Calibri" w:cs="Arial"/>
          <w:sz w:val="22"/>
          <w:szCs w:val="22"/>
        </w:rPr>
        <w:t xml:space="preserve">Les propositions de communication comprenant le résumé (400 mots maximum) doivent parvenir </w:t>
      </w:r>
    </w:p>
    <w:p w:rsidR="00133419" w:rsidRPr="007015A7" w:rsidRDefault="00133419" w:rsidP="00133419">
      <w:pPr>
        <w:jc w:val="center"/>
        <w:rPr>
          <w:rFonts w:ascii="Calibri" w:hAnsi="Calibri" w:cs="Arial"/>
          <w:sz w:val="22"/>
          <w:szCs w:val="22"/>
        </w:rPr>
      </w:pPr>
      <w:r w:rsidRPr="007015A7">
        <w:rPr>
          <w:rFonts w:ascii="Calibri" w:hAnsi="Calibri" w:cs="Arial"/>
          <w:b/>
          <w:bCs/>
          <w:sz w:val="22"/>
          <w:szCs w:val="22"/>
        </w:rPr>
        <w:t>par courrier électronique à</w:t>
      </w:r>
    </w:p>
    <w:p w:rsidR="00133419" w:rsidRPr="007015A7" w:rsidRDefault="00761772" w:rsidP="00133419">
      <w:pPr>
        <w:jc w:val="center"/>
        <w:rPr>
          <w:rFonts w:ascii="Calibri" w:hAnsi="Calibri" w:cs="Arial"/>
          <w:b/>
          <w:bCs/>
          <w:sz w:val="22"/>
          <w:szCs w:val="22"/>
        </w:rPr>
      </w:pPr>
      <w:hyperlink r:id="rId7" w:history="1">
        <w:r w:rsidR="00133419" w:rsidRPr="007015A7">
          <w:rPr>
            <w:rStyle w:val="Lienhypertexte"/>
            <w:rFonts w:ascii="Calibri" w:hAnsi="Calibri" w:cs="Arial"/>
            <w:b/>
            <w:sz w:val="22"/>
            <w:szCs w:val="22"/>
          </w:rPr>
          <w:t>socpatex@pasteur.fr</w:t>
        </w:r>
      </w:hyperlink>
      <w:r w:rsidR="00133419" w:rsidRPr="007015A7">
        <w:rPr>
          <w:rFonts w:ascii="Calibri" w:hAnsi="Calibri" w:cs="Arial"/>
          <w:b/>
          <w:sz w:val="22"/>
          <w:szCs w:val="22"/>
        </w:rPr>
        <w:t xml:space="preserve"> </w:t>
      </w:r>
      <w:r w:rsidR="00133419" w:rsidRPr="007015A7">
        <w:rPr>
          <w:rFonts w:ascii="Calibri" w:hAnsi="Calibri" w:cs="Arial"/>
          <w:b/>
          <w:bCs/>
          <w:sz w:val="22"/>
          <w:szCs w:val="22"/>
        </w:rPr>
        <w:t>avant le 4 septembre 2013</w:t>
      </w:r>
    </w:p>
    <w:p w:rsidR="00133419" w:rsidRPr="00F72B5E" w:rsidRDefault="00133419">
      <w:pPr>
        <w:jc w:val="center"/>
        <w:rPr>
          <w:rFonts w:ascii="Calibri" w:hAnsi="Calibri" w:cs="Arial"/>
          <w:b/>
          <w:bCs/>
          <w:sz w:val="28"/>
        </w:rPr>
      </w:pP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1"/>
      </w:tblGrid>
      <w:tr w:rsidR="00133419" w:rsidRPr="00F72B5E">
        <w:trPr>
          <w:trHeight w:val="1186"/>
        </w:trPr>
        <w:tc>
          <w:tcPr>
            <w:tcW w:w="9091" w:type="dxa"/>
          </w:tcPr>
          <w:p w:rsidR="00104448" w:rsidRDefault="00133419" w:rsidP="00104448">
            <w:pPr>
              <w:rPr>
                <w:rFonts w:ascii="Calibri" w:hAnsi="Calibri" w:cs="Arial"/>
                <w:b/>
                <w:bCs/>
                <w:color w:val="80000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Titre de la communication :</w:t>
            </w:r>
          </w:p>
          <w:p w:rsidR="00104448" w:rsidRPr="0074339F" w:rsidRDefault="00104448" w:rsidP="00104448">
            <w:pPr>
              <w:rPr>
                <w:rFonts w:ascii="Calibri" w:hAnsi="Calibri"/>
                <w:b/>
                <w:color w:val="222222"/>
              </w:rPr>
            </w:pPr>
            <w:r w:rsidRPr="00F31E92">
              <w:rPr>
                <w:b/>
                <w:color w:val="222222"/>
                <w:sz w:val="28"/>
                <w:szCs w:val="28"/>
              </w:rPr>
              <w:t xml:space="preserve"> </w:t>
            </w:r>
            <w:r w:rsidRPr="0074339F">
              <w:rPr>
                <w:rFonts w:ascii="Calibri" w:hAnsi="Calibri"/>
                <w:b/>
                <w:color w:val="222222"/>
              </w:rPr>
              <w:t>Coût et faisabilité de la Chimio-prévention du paludisme saisonnier (CPS) chez les enfants</w:t>
            </w:r>
            <w:r w:rsidR="0074339F">
              <w:rPr>
                <w:rFonts w:ascii="Calibri" w:hAnsi="Calibri"/>
                <w:b/>
                <w:color w:val="222222"/>
              </w:rPr>
              <w:t xml:space="preserve"> de moins de 10 ans  au Sénégal</w:t>
            </w:r>
            <w:r w:rsidRPr="0074339F">
              <w:rPr>
                <w:rFonts w:ascii="Calibri" w:hAnsi="Calibri"/>
                <w:b/>
                <w:color w:val="222222"/>
              </w:rPr>
              <w:t xml:space="preserve"> </w:t>
            </w:r>
          </w:p>
          <w:p w:rsidR="00133419" w:rsidRPr="009A235A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</w:p>
        </w:tc>
      </w:tr>
      <w:tr w:rsidR="00133419" w:rsidRPr="00104448">
        <w:trPr>
          <w:trHeight w:val="523"/>
        </w:trPr>
        <w:tc>
          <w:tcPr>
            <w:tcW w:w="9091" w:type="dxa"/>
          </w:tcPr>
          <w:p w:rsidR="00133419" w:rsidRPr="00104448" w:rsidRDefault="00133419" w:rsidP="00133419">
            <w:pPr>
              <w:widowControl w:val="0"/>
              <w:autoSpaceDE w:val="0"/>
              <w:autoSpaceDN w:val="0"/>
              <w:adjustRightInd w:val="0"/>
              <w:spacing w:before="35"/>
              <w:ind w:right="250"/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104448">
              <w:rPr>
                <w:rFonts w:ascii="Calibri" w:hAnsi="Calibri" w:cs="Arial"/>
                <w:b/>
                <w:bCs/>
                <w:color w:val="800000"/>
              </w:rPr>
              <w:t xml:space="preserve">Mots clefs (5 maximum) : </w:t>
            </w:r>
            <w:r w:rsidR="00104448" w:rsidRPr="00104448">
              <w:rPr>
                <w:rFonts w:ascii="Calibri" w:hAnsi="Calibri" w:cs="Arial"/>
                <w:b/>
                <w:bCs/>
                <w:color w:val="800000"/>
              </w:rPr>
              <w:t>Prévention-Paludisme-coût-</w:t>
            </w:r>
            <w:r w:rsidR="00104448">
              <w:rPr>
                <w:rFonts w:ascii="Calibri" w:hAnsi="Calibri" w:cs="Arial"/>
                <w:b/>
                <w:bCs/>
                <w:color w:val="800000"/>
              </w:rPr>
              <w:t>administration médicaments</w:t>
            </w:r>
          </w:p>
          <w:p w:rsidR="00133419" w:rsidRPr="00104448" w:rsidRDefault="00133419" w:rsidP="00133419">
            <w:pPr>
              <w:widowControl w:val="0"/>
              <w:autoSpaceDE w:val="0"/>
              <w:autoSpaceDN w:val="0"/>
              <w:adjustRightInd w:val="0"/>
              <w:spacing w:before="35"/>
              <w:ind w:right="250"/>
              <w:jc w:val="both"/>
              <w:rPr>
                <w:rFonts w:ascii="Calibri" w:hAnsi="Calibri" w:cs="Arial"/>
              </w:rPr>
            </w:pPr>
          </w:p>
        </w:tc>
      </w:tr>
      <w:tr w:rsidR="00133419" w:rsidRPr="00F72B5E">
        <w:trPr>
          <w:trHeight w:val="941"/>
        </w:trPr>
        <w:tc>
          <w:tcPr>
            <w:tcW w:w="9091" w:type="dxa"/>
          </w:tcPr>
          <w:p w:rsidR="00133419" w:rsidRPr="00F72B5E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Proposée en (cocher la case) :</w:t>
            </w:r>
          </w:p>
          <w:p w:rsidR="00133419" w:rsidRPr="00F72B5E" w:rsidRDefault="00104448" w:rsidP="00133419">
            <w:pPr>
              <w:ind w:left="360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sym w:font="Wingdings" w:char="F0A4"/>
            </w:r>
            <w:r w:rsidR="00133419">
              <w:rPr>
                <w:rFonts w:ascii="Calibri" w:hAnsi="Calibri" w:cs="Arial"/>
              </w:rPr>
              <w:t xml:space="preserve"> </w:t>
            </w:r>
            <w:r w:rsidR="00133419" w:rsidRPr="00F72B5E">
              <w:rPr>
                <w:rFonts w:ascii="Calibri" w:hAnsi="Calibri" w:cs="Arial"/>
              </w:rPr>
              <w:t>Communication orale</w:t>
            </w:r>
          </w:p>
          <w:p w:rsidR="00133419" w:rsidRDefault="00133419" w:rsidP="00133419">
            <w:pPr>
              <w:ind w:left="360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 w:cs="Arial"/>
              </w:rPr>
              <w:t>Communication affichée</w:t>
            </w:r>
          </w:p>
          <w:p w:rsidR="00133419" w:rsidRPr="00F72B5E" w:rsidRDefault="00133419" w:rsidP="00133419">
            <w:pPr>
              <w:jc w:val="both"/>
              <w:rPr>
                <w:rFonts w:ascii="Calibri" w:hAnsi="Calibri" w:cs="Arial"/>
              </w:rPr>
            </w:pPr>
          </w:p>
        </w:tc>
      </w:tr>
      <w:tr w:rsidR="00133419" w:rsidRPr="00F72B5E">
        <w:trPr>
          <w:trHeight w:val="941"/>
        </w:trPr>
        <w:tc>
          <w:tcPr>
            <w:tcW w:w="9091" w:type="dxa"/>
          </w:tcPr>
          <w:p w:rsidR="00133419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>
              <w:rPr>
                <w:rFonts w:ascii="Calibri" w:hAnsi="Calibri" w:cs="Arial"/>
                <w:b/>
                <w:bCs/>
                <w:color w:val="800000"/>
              </w:rPr>
              <w:t>Communication proposée dans la session </w:t>
            </w:r>
            <w:r w:rsidRPr="00F72B5E">
              <w:rPr>
                <w:rFonts w:ascii="Calibri" w:hAnsi="Calibri" w:cs="Arial"/>
                <w:b/>
                <w:bCs/>
                <w:color w:val="800000"/>
              </w:rPr>
              <w:t>(cocher la case) :</w:t>
            </w:r>
          </w:p>
          <w:p w:rsidR="00133419" w:rsidRDefault="00104448" w:rsidP="00133419">
            <w:pPr>
              <w:ind w:left="1800"/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4"/>
            </w:r>
            <w:r w:rsidR="00133419">
              <w:rPr>
                <w:rFonts w:ascii="Calibri" w:hAnsi="Calibri" w:cs="Arial"/>
              </w:rPr>
              <w:t xml:space="preserve"> </w:t>
            </w:r>
            <w:r w:rsidR="00133419" w:rsidRPr="00F72B5E">
              <w:rPr>
                <w:rFonts w:ascii="Calibri" w:hAnsi="Calibri"/>
              </w:rPr>
              <w:t>Paludisme et autres maladies parasitaires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Fièvres émergentes - m</w:t>
            </w:r>
            <w:r w:rsidRPr="00F72B5E">
              <w:rPr>
                <w:rFonts w:ascii="Calibri" w:hAnsi="Calibri"/>
              </w:rPr>
              <w:t>aladies infectieuses tropicales négligées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Maladies nutritionnelles et diabète</w:t>
            </w:r>
          </w:p>
          <w:p w:rsidR="00133419" w:rsidRPr="00F72B5E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/>
              </w:rPr>
              <w:t>Maladies cardiovasculaires et complications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 w:rsidRPr="00F72B5E">
              <w:rPr>
                <w:rFonts w:ascii="Calibri" w:hAnsi="Calibri" w:cs="Arial"/>
                <w:color w:val="000000"/>
              </w:rPr>
              <w:t>Epilepsies</w:t>
            </w:r>
          </w:p>
          <w:p w:rsidR="00133419" w:rsidRDefault="00133419" w:rsidP="00133419">
            <w:pPr>
              <w:ind w:left="180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Mycoses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 w:rsidRPr="00F72B5E">
              <w:rPr>
                <w:rFonts w:ascii="Calibri" w:hAnsi="Calibri"/>
              </w:rPr>
              <w:t>ccès aux soins</w:t>
            </w:r>
            <w:r>
              <w:rPr>
                <w:rFonts w:ascii="Calibri" w:hAnsi="Calibri"/>
              </w:rPr>
              <w:t xml:space="preserve"> - </w:t>
            </w:r>
            <w:r w:rsidRPr="00F72B5E">
              <w:rPr>
                <w:rFonts w:ascii="Calibri" w:hAnsi="Calibri"/>
              </w:rPr>
              <w:t>Prise en charge VIH et sida</w:t>
            </w:r>
          </w:p>
          <w:p w:rsidR="00133419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/>
              </w:rPr>
              <w:t>F</w:t>
            </w:r>
            <w:r w:rsidRPr="007015A7">
              <w:rPr>
                <w:rFonts w:ascii="Calibri" w:hAnsi="Calibri"/>
              </w:rPr>
              <w:t>inancement de la santé</w:t>
            </w:r>
            <w:r>
              <w:rPr>
                <w:rFonts w:ascii="Calibri" w:hAnsi="Calibri"/>
              </w:rPr>
              <w:t xml:space="preserve"> - R</w:t>
            </w:r>
            <w:r w:rsidRPr="007015A7">
              <w:rPr>
                <w:rFonts w:ascii="Calibri" w:hAnsi="Calibri"/>
              </w:rPr>
              <w:t>essources humaines</w:t>
            </w:r>
          </w:p>
          <w:p w:rsidR="00133419" w:rsidRPr="00F72B5E" w:rsidRDefault="00133419" w:rsidP="00133419">
            <w:pPr>
              <w:ind w:left="180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sym w:font="Wingdings" w:char="F0A6"/>
            </w:r>
            <w:r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/>
              </w:rPr>
              <w:t>Anthropologie de la santé</w:t>
            </w:r>
          </w:p>
        </w:tc>
      </w:tr>
      <w:tr w:rsidR="00133419" w:rsidRPr="00F72B5E">
        <w:trPr>
          <w:trHeight w:val="612"/>
        </w:trPr>
        <w:tc>
          <w:tcPr>
            <w:tcW w:w="9091" w:type="dxa"/>
          </w:tcPr>
          <w:p w:rsidR="00250528" w:rsidRDefault="00133419" w:rsidP="00250528">
            <w:pPr>
              <w:rPr>
                <w:rFonts w:ascii="Arial" w:hAnsi="Arial" w:cs="Arial"/>
                <w:color w:val="222222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 xml:space="preserve">Auteurs (noms/prénoms) : </w:t>
            </w:r>
            <w:r w:rsidR="00250528" w:rsidRPr="00A460BC">
              <w:rPr>
                <w:rFonts w:ascii="Arial" w:hAnsi="Arial" w:cs="Arial"/>
                <w:color w:val="222222"/>
              </w:rPr>
              <w:t>El Hadj Ba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1</w:t>
            </w:r>
            <w:r w:rsidR="00250528" w:rsidRPr="00A460BC">
              <w:rPr>
                <w:rFonts w:ascii="Arial" w:hAnsi="Arial" w:cs="Arial"/>
                <w:color w:val="222222"/>
              </w:rPr>
              <w:t>, Catherine Pitt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3</w:t>
            </w:r>
            <w:r w:rsidR="00250528" w:rsidRPr="00A460BC">
              <w:rPr>
                <w:rFonts w:ascii="Arial" w:hAnsi="Arial" w:cs="Arial"/>
                <w:color w:val="222222"/>
              </w:rPr>
              <w:t>, Badara Cissé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="00250528" w:rsidRPr="00A460BC">
              <w:rPr>
                <w:rFonts w:ascii="Arial" w:hAnsi="Arial" w:cs="Arial"/>
                <w:color w:val="222222"/>
              </w:rPr>
              <w:t>, 3, Mohamed Ndiaye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1</w:t>
            </w:r>
            <w:r w:rsidR="00250528" w:rsidRPr="00A460BC">
              <w:rPr>
                <w:rFonts w:ascii="Arial" w:hAnsi="Arial" w:cs="Arial"/>
                <w:color w:val="222222"/>
              </w:rPr>
              <w:t>, Matt Cairns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3</w:t>
            </w:r>
            <w:r w:rsidR="00250528" w:rsidRPr="00A460BC">
              <w:rPr>
                <w:rFonts w:ascii="Arial" w:hAnsi="Arial" w:cs="Arial"/>
                <w:color w:val="222222"/>
              </w:rPr>
              <w:t>, Cheikh Sokhna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1</w:t>
            </w:r>
            <w:r w:rsidR="00250528" w:rsidRPr="00A460BC">
              <w:rPr>
                <w:rFonts w:ascii="Arial" w:hAnsi="Arial" w:cs="Arial"/>
                <w:color w:val="222222"/>
              </w:rPr>
              <w:t>, Jules- François Gomis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="00250528" w:rsidRPr="00A460BC">
              <w:rPr>
                <w:rFonts w:ascii="Arial" w:hAnsi="Arial" w:cs="Arial"/>
                <w:color w:val="222222"/>
              </w:rPr>
              <w:t>, Oumar Gaye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="00250528" w:rsidRPr="00A460BC">
              <w:rPr>
                <w:rFonts w:ascii="Arial" w:hAnsi="Arial" w:cs="Arial"/>
                <w:color w:val="222222"/>
              </w:rPr>
              <w:t>, Paul Milligan</w:t>
            </w:r>
            <w:r w:rsidR="00250528" w:rsidRPr="00340A9B">
              <w:rPr>
                <w:rFonts w:ascii="Arial" w:hAnsi="Arial" w:cs="Arial"/>
                <w:color w:val="222222"/>
                <w:vertAlign w:val="superscript"/>
              </w:rPr>
              <w:t>3</w:t>
            </w:r>
          </w:p>
          <w:p w:rsidR="00133419" w:rsidRPr="009A235A" w:rsidRDefault="00133419" w:rsidP="00250528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</w:p>
        </w:tc>
      </w:tr>
      <w:tr w:rsidR="00133419" w:rsidRPr="00F72B5E">
        <w:trPr>
          <w:trHeight w:val="989"/>
        </w:trPr>
        <w:tc>
          <w:tcPr>
            <w:tcW w:w="9091" w:type="dxa"/>
          </w:tcPr>
          <w:p w:rsidR="00133419" w:rsidRDefault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F72B5E">
              <w:rPr>
                <w:rFonts w:ascii="Calibri" w:hAnsi="Calibri" w:cs="Arial"/>
                <w:b/>
                <w:bCs/>
                <w:color w:val="800000"/>
              </w:rPr>
              <w:t>Adresse de correspondance de l’auteur responsable (et affiliation) </w:t>
            </w:r>
            <w:r w:rsidR="00104448" w:rsidRPr="00F72B5E">
              <w:rPr>
                <w:rFonts w:ascii="Calibri" w:hAnsi="Calibri" w:cs="Arial"/>
                <w:b/>
                <w:bCs/>
                <w:color w:val="800000"/>
              </w:rPr>
              <w:t>:</w:t>
            </w:r>
            <w:r w:rsidR="00104448">
              <w:rPr>
                <w:rFonts w:ascii="Calibri" w:hAnsi="Calibri" w:cs="Arial"/>
                <w:b/>
                <w:bCs/>
                <w:color w:val="800000"/>
              </w:rPr>
              <w:t xml:space="preserve"> Institut de Recherche pour le Développement (IRD), Route des pères Maristes BP 1386 Dakar</w:t>
            </w:r>
          </w:p>
          <w:p w:rsidR="00250528" w:rsidRPr="00250528" w:rsidRDefault="00250528" w:rsidP="00250528">
            <w:pPr>
              <w:rPr>
                <w:rFonts w:ascii="Calibri" w:hAnsi="Calibri"/>
              </w:rPr>
            </w:pPr>
            <w:r w:rsidRPr="00340A9B">
              <w:rPr>
                <w:rFonts w:ascii="Calibri" w:hAnsi="Calibri"/>
                <w:vertAlign w:val="superscript"/>
              </w:rPr>
              <w:t>1</w:t>
            </w:r>
            <w:r>
              <w:rPr>
                <w:rFonts w:ascii="Calibri" w:hAnsi="Calibri"/>
              </w:rPr>
              <w:t xml:space="preserve"> </w:t>
            </w:r>
            <w:r w:rsidRPr="00250528">
              <w:rPr>
                <w:rFonts w:ascii="Calibri" w:hAnsi="Calibri"/>
              </w:rPr>
              <w:t>URMITE, UMR CNRS 6236 - IRD 198 - Aix Marseille Université, Campus Universitaire IRD de Hann, BP 1386 CP 18524 Dakar, Sénégal.</w:t>
            </w:r>
          </w:p>
          <w:p w:rsidR="00250528" w:rsidRDefault="00340A9B" w:rsidP="00250528">
            <w:pPr>
              <w:rPr>
                <w:rFonts w:ascii="Calibri" w:hAnsi="Calibri" w:cs="Arial"/>
                <w:color w:val="222222"/>
              </w:rPr>
            </w:pPr>
            <w:r w:rsidRPr="00340A9B">
              <w:rPr>
                <w:rFonts w:ascii="Calibri" w:hAnsi="Calibri" w:cs="Arial"/>
                <w:color w:val="222222"/>
                <w:vertAlign w:val="superscript"/>
              </w:rPr>
              <w:t>2</w:t>
            </w:r>
            <w:r w:rsidR="00250528" w:rsidRPr="00250528">
              <w:rPr>
                <w:rFonts w:ascii="Calibri" w:hAnsi="Calibri" w:cs="Arial"/>
                <w:color w:val="222222"/>
              </w:rPr>
              <w:t>Université Cheikh Anta</w:t>
            </w:r>
            <w:r w:rsidR="00250528">
              <w:rPr>
                <w:rFonts w:ascii="Calibri" w:hAnsi="Calibri" w:cs="Arial"/>
                <w:color w:val="222222"/>
              </w:rPr>
              <w:t xml:space="preserve"> Diop , Dakar, Sénégal </w:t>
            </w:r>
          </w:p>
          <w:p w:rsidR="00250528" w:rsidRPr="00250528" w:rsidRDefault="00340A9B" w:rsidP="00250528">
            <w:pPr>
              <w:rPr>
                <w:rFonts w:ascii="Calibri" w:hAnsi="Calibri" w:cs="Arial"/>
                <w:color w:val="222222"/>
              </w:rPr>
            </w:pPr>
            <w:r>
              <w:rPr>
                <w:rFonts w:ascii="Calibri" w:hAnsi="Calibri" w:cs="Arial"/>
                <w:color w:val="222222"/>
              </w:rPr>
              <w:t xml:space="preserve"> </w:t>
            </w:r>
            <w:r w:rsidRPr="00340A9B">
              <w:rPr>
                <w:rFonts w:ascii="Calibri" w:hAnsi="Calibri" w:cs="Arial"/>
                <w:color w:val="222222"/>
                <w:vertAlign w:val="superscript"/>
              </w:rPr>
              <w:t>3</w:t>
            </w:r>
            <w:r>
              <w:rPr>
                <w:rFonts w:ascii="Calibri" w:hAnsi="Calibri" w:cs="Arial"/>
                <w:color w:val="222222"/>
              </w:rPr>
              <w:t xml:space="preserve"> London School of  Hygie</w:t>
            </w:r>
            <w:r w:rsidR="00250528" w:rsidRPr="00250528">
              <w:rPr>
                <w:rFonts w:ascii="Calibri" w:hAnsi="Calibri" w:cs="Arial"/>
                <w:color w:val="222222"/>
              </w:rPr>
              <w:t xml:space="preserve">ne </w:t>
            </w:r>
            <w:r>
              <w:rPr>
                <w:rFonts w:ascii="Calibri" w:hAnsi="Calibri" w:cs="Arial"/>
                <w:color w:val="222222"/>
              </w:rPr>
              <w:t>and Tropical Medicine, UK</w:t>
            </w:r>
          </w:p>
          <w:p w:rsidR="00133419" w:rsidRPr="00F72B5E" w:rsidRDefault="00133419" w:rsidP="0074339F">
            <w:pPr>
              <w:rPr>
                <w:rFonts w:ascii="Calibri" w:hAnsi="Calibri" w:cs="Arial"/>
              </w:rPr>
            </w:pPr>
            <w:bookmarkStart w:id="0" w:name="_GoBack"/>
            <w:bookmarkEnd w:id="0"/>
          </w:p>
        </w:tc>
      </w:tr>
      <w:tr w:rsidR="00133419" w:rsidRPr="00F72B5E">
        <w:trPr>
          <w:trHeight w:val="1613"/>
        </w:trPr>
        <w:tc>
          <w:tcPr>
            <w:tcW w:w="9091" w:type="dxa"/>
          </w:tcPr>
          <w:p w:rsidR="00133419" w:rsidRPr="00947344" w:rsidRDefault="00133419" w:rsidP="00133419">
            <w:pPr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947344">
              <w:rPr>
                <w:rFonts w:ascii="Calibri" w:hAnsi="Calibri" w:cs="Arial"/>
                <w:b/>
                <w:bCs/>
                <w:color w:val="800000"/>
              </w:rPr>
              <w:t xml:space="preserve">Adresse électronique :   </w:t>
            </w:r>
            <w:r w:rsidR="00104448">
              <w:rPr>
                <w:rFonts w:ascii="Calibri" w:hAnsi="Calibri" w:cs="Arial"/>
                <w:b/>
                <w:bCs/>
                <w:color w:val="800000"/>
              </w:rPr>
              <w:t>el-hadji.ba@ird.fr</w:t>
            </w:r>
          </w:p>
          <w:p w:rsidR="00133419" w:rsidRPr="00F72B5E" w:rsidRDefault="00133419" w:rsidP="00133419">
            <w:pPr>
              <w:jc w:val="both"/>
              <w:rPr>
                <w:rFonts w:ascii="Calibri" w:hAnsi="Calibri" w:cs="Arial"/>
              </w:rPr>
            </w:pPr>
            <w:r w:rsidRPr="00947344">
              <w:rPr>
                <w:rFonts w:ascii="Calibri" w:hAnsi="Calibri" w:cs="Arial"/>
                <w:b/>
                <w:bCs/>
                <w:color w:val="800000"/>
              </w:rPr>
              <w:t>Téléphone </w:t>
            </w:r>
            <w:r w:rsidR="00104448" w:rsidRPr="00947344">
              <w:rPr>
                <w:rFonts w:ascii="Calibri" w:hAnsi="Calibri" w:cs="Arial"/>
                <w:b/>
                <w:bCs/>
                <w:color w:val="800000"/>
              </w:rPr>
              <w:t>:</w:t>
            </w:r>
            <w:r w:rsidR="00104448">
              <w:rPr>
                <w:rFonts w:ascii="Calibri" w:hAnsi="Calibri" w:cs="Arial"/>
                <w:b/>
                <w:bCs/>
                <w:color w:val="800000"/>
              </w:rPr>
              <w:t xml:space="preserve"> 771753266</w:t>
            </w:r>
          </w:p>
        </w:tc>
      </w:tr>
      <w:tr w:rsidR="00133419" w:rsidRPr="00F72B5E">
        <w:trPr>
          <w:trHeight w:val="10087"/>
        </w:trPr>
        <w:tc>
          <w:tcPr>
            <w:tcW w:w="9091" w:type="dxa"/>
          </w:tcPr>
          <w:p w:rsidR="00104448" w:rsidRPr="00340A9B" w:rsidRDefault="00133419" w:rsidP="00340A9B">
            <w:pPr>
              <w:jc w:val="both"/>
              <w:rPr>
                <w:rFonts w:ascii="Calibri" w:hAnsi="Calibri" w:cs="Arial"/>
              </w:rPr>
            </w:pPr>
            <w:r w:rsidRPr="00F72B5E">
              <w:rPr>
                <w:rFonts w:ascii="Calibri" w:hAnsi="Calibri" w:cs="Arial"/>
              </w:rPr>
              <w:t>Résumé en français (400 mots maximum) :</w:t>
            </w:r>
          </w:p>
          <w:p w:rsidR="00D12F26" w:rsidRPr="00D12F26" w:rsidRDefault="00104448" w:rsidP="00340A9B">
            <w:pPr>
              <w:jc w:val="both"/>
              <w:rPr>
                <w:rFonts w:ascii="Calibri" w:hAnsi="Calibri" w:cs="Arial"/>
                <w:color w:val="222222"/>
              </w:rPr>
            </w:pPr>
            <w:r w:rsidRPr="00A460BC">
              <w:rPr>
                <w:rFonts w:ascii="Arial" w:hAnsi="Arial" w:cs="Arial"/>
                <w:color w:val="222222"/>
              </w:rPr>
              <w:br/>
            </w:r>
            <w:r w:rsidR="00250528" w:rsidRPr="00D12F26">
              <w:rPr>
                <w:rFonts w:ascii="Calibri" w:hAnsi="Calibri" w:cs="Arial"/>
                <w:color w:val="222222"/>
              </w:rPr>
              <w:t>I</w:t>
            </w:r>
            <w:r w:rsidR="00250528" w:rsidRPr="00D12F26">
              <w:rPr>
                <w:rFonts w:ascii="Calibri" w:hAnsi="Calibri" w:cs="Arial"/>
                <w:b/>
                <w:color w:val="222222"/>
              </w:rPr>
              <w:t>ntroduction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 : </w:t>
            </w:r>
            <w:r w:rsidRPr="00D12F26">
              <w:rPr>
                <w:rFonts w:ascii="Calibri" w:hAnsi="Calibri" w:cs="Arial"/>
                <w:color w:val="222222"/>
              </w:rPr>
              <w:t>Dans la sous-région du sahel, la chimioprévention du paludisme saisonnier (CPS) est maintenant recommandé</w:t>
            </w:r>
            <w:r w:rsidR="00250528" w:rsidRPr="00D12F26">
              <w:rPr>
                <w:rFonts w:ascii="Calibri" w:hAnsi="Calibri" w:cs="Arial"/>
                <w:color w:val="222222"/>
              </w:rPr>
              <w:t>e</w:t>
            </w:r>
            <w:r w:rsidRPr="00D12F26">
              <w:rPr>
                <w:rFonts w:ascii="Calibri" w:hAnsi="Calibri" w:cs="Arial"/>
                <w:color w:val="222222"/>
              </w:rPr>
              <w:t xml:space="preserve"> pour le contrôle du paludisme chez les enfants âgés de moins de 5 ans dans les zones de transmission saisonnière forte. 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Dans certaines zones, </w:t>
            </w:r>
            <w:r w:rsidRPr="00D12F26">
              <w:rPr>
                <w:rFonts w:ascii="Calibri" w:hAnsi="Calibri" w:cs="Arial"/>
                <w:color w:val="222222"/>
              </w:rPr>
              <w:t>inclure les enfants plus âgés peut être très efficient. Nous avons évalué la faisabilité et le coût de la mise en œuvre du (CPS) chez les enfants âgés de 3 mois à 10 ans au centre du Sénégal.</w:t>
            </w:r>
          </w:p>
          <w:p w:rsidR="00104448" w:rsidRPr="00D12F26" w:rsidRDefault="00104448" w:rsidP="00340A9B">
            <w:pPr>
              <w:jc w:val="both"/>
              <w:rPr>
                <w:rFonts w:ascii="Calibri" w:hAnsi="Calibri" w:cs="Arial"/>
                <w:color w:val="222222"/>
              </w:rPr>
            </w:pPr>
            <w:r w:rsidRPr="00D12F26">
              <w:rPr>
                <w:rFonts w:ascii="Calibri" w:hAnsi="Calibri" w:cs="Arial"/>
                <w:color w:val="222222"/>
              </w:rPr>
              <w:br/>
            </w:r>
            <w:r w:rsidRPr="00D12F26">
              <w:rPr>
                <w:rFonts w:ascii="Calibri" w:hAnsi="Calibri" w:cs="Arial"/>
                <w:b/>
                <w:color w:val="222222"/>
              </w:rPr>
              <w:t>Méthodes</w:t>
            </w:r>
            <w:r w:rsidR="00250528" w:rsidRPr="00D12F26">
              <w:rPr>
                <w:rFonts w:ascii="Calibri" w:hAnsi="Calibri" w:cs="Arial"/>
                <w:b/>
                <w:color w:val="222222"/>
              </w:rPr>
              <w:t xml:space="preserve"> : </w:t>
            </w:r>
            <w:r w:rsidRPr="00D12F26">
              <w:rPr>
                <w:rFonts w:ascii="Calibri" w:hAnsi="Calibri" w:cs="Arial"/>
                <w:color w:val="222222"/>
              </w:rPr>
              <w:t>La CPS a été délivrée  à 180.000 enfants  dans 3 districts sanitaires au centre du Sénégal (Mbour, Fatick et Bambey). La stratégie du po</w:t>
            </w:r>
            <w:r w:rsidR="00250528" w:rsidRPr="00D12F26">
              <w:rPr>
                <w:rFonts w:ascii="Calibri" w:hAnsi="Calibri" w:cs="Arial"/>
                <w:color w:val="222222"/>
              </w:rPr>
              <w:t>rte à porte utilisant les agents de santé</w:t>
            </w:r>
            <w:r w:rsidRPr="00D12F26">
              <w:rPr>
                <w:rFonts w:ascii="Calibri" w:hAnsi="Calibri" w:cs="Arial"/>
                <w:color w:val="222222"/>
              </w:rPr>
              <w:t xml:space="preserve"> communautaires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 (ASC)</w:t>
            </w:r>
            <w:r w:rsidRPr="00D12F26">
              <w:rPr>
                <w:rFonts w:ascii="Calibri" w:hAnsi="Calibri" w:cs="Arial"/>
                <w:color w:val="222222"/>
              </w:rPr>
              <w:t xml:space="preserve"> visitant chaque ménage en Septembre, Octobre et Novembre 2010 a été utilisé</w:t>
            </w:r>
            <w:r w:rsidR="00250528" w:rsidRPr="00D12F26">
              <w:rPr>
                <w:rFonts w:ascii="Calibri" w:hAnsi="Calibri" w:cs="Arial"/>
                <w:color w:val="222222"/>
              </w:rPr>
              <w:t>e</w:t>
            </w:r>
            <w:r w:rsidRPr="00D12F26">
              <w:rPr>
                <w:rFonts w:ascii="Calibri" w:hAnsi="Calibri" w:cs="Arial"/>
                <w:color w:val="222222"/>
              </w:rPr>
              <w:t>. Pour inclure les enfants scolarisés, des visites ont été organisée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s en dehors des </w:t>
            </w:r>
            <w:r w:rsidRPr="00D12F26">
              <w:rPr>
                <w:rFonts w:ascii="Calibri" w:hAnsi="Calibri" w:cs="Arial"/>
                <w:color w:val="222222"/>
              </w:rPr>
              <w:t>école</w:t>
            </w:r>
            <w:r w:rsidR="00250528" w:rsidRPr="00D12F26">
              <w:rPr>
                <w:rFonts w:ascii="Calibri" w:hAnsi="Calibri" w:cs="Arial"/>
                <w:color w:val="222222"/>
              </w:rPr>
              <w:t>s</w:t>
            </w:r>
            <w:r w:rsidRPr="00D12F26">
              <w:rPr>
                <w:rFonts w:ascii="Calibri" w:hAnsi="Calibri" w:cs="Arial"/>
                <w:color w:val="222222"/>
              </w:rPr>
              <w:t>. La date et les doses administrées ont été consignées sur une carte conservée par la famille et dans des registres. La couverture a été estimée à partir de ces registres et indépendamment à partir d'une enquête par sondage en grappes dans laquelle le statut socioéconomique et la disponibilité de moustiquaires imprégnées d’insecticide ont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 été enregistré</w:t>
            </w:r>
            <w:r w:rsidRPr="00D12F26">
              <w:rPr>
                <w:rFonts w:ascii="Calibri" w:hAnsi="Calibri" w:cs="Arial"/>
                <w:color w:val="222222"/>
              </w:rPr>
              <w:t xml:space="preserve">s. Des données 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précises </w:t>
            </w:r>
            <w:r w:rsidRPr="00D12F26">
              <w:rPr>
                <w:rFonts w:ascii="Calibri" w:hAnsi="Calibri" w:cs="Arial"/>
                <w:color w:val="222222"/>
              </w:rPr>
              <w:t xml:space="preserve">sur la mobilisation des ressources </w:t>
            </w:r>
            <w:r w:rsidR="00250528" w:rsidRPr="00D12F26">
              <w:rPr>
                <w:rFonts w:ascii="Calibri" w:hAnsi="Calibri" w:cs="Arial"/>
                <w:color w:val="222222"/>
              </w:rPr>
              <w:t>utilisées pour</w:t>
            </w:r>
            <w:r w:rsidRPr="00D12F26">
              <w:rPr>
                <w:rFonts w:ascii="Calibri" w:hAnsi="Calibri" w:cs="Arial"/>
                <w:color w:val="222222"/>
              </w:rPr>
              <w:t xml:space="preserve"> la délivrance  de la CPS  ont été recueillies au niveau des structures s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anitaires impliquées </w:t>
            </w:r>
            <w:r w:rsidRPr="00D12F26">
              <w:rPr>
                <w:rFonts w:ascii="Calibri" w:hAnsi="Calibri" w:cs="Arial"/>
                <w:color w:val="222222"/>
              </w:rPr>
              <w:t xml:space="preserve">afin d'estimer les coûts marginaux de sa mise en œuvre. Pour déterminer les possibilités 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de </w:t>
            </w:r>
            <w:r w:rsidRPr="00D12F26">
              <w:rPr>
                <w:rFonts w:ascii="Calibri" w:hAnsi="Calibri" w:cs="Arial"/>
                <w:color w:val="222222"/>
              </w:rPr>
              <w:t xml:space="preserve">combiner la CPS à  </w:t>
            </w:r>
            <w:r w:rsidR="00250528" w:rsidRPr="00D12F26">
              <w:rPr>
                <w:rFonts w:ascii="Calibri" w:hAnsi="Calibri" w:cs="Arial"/>
                <w:color w:val="222222"/>
              </w:rPr>
              <w:t xml:space="preserve">d'autres programmes de santé, Nous avons </w:t>
            </w:r>
            <w:r w:rsidRPr="00D12F26">
              <w:rPr>
                <w:rFonts w:ascii="Calibri" w:hAnsi="Calibri" w:cs="Arial"/>
                <w:color w:val="222222"/>
              </w:rPr>
              <w:t xml:space="preserve"> demandé aux ASC de tenir un journal enregistrant leurs activités quotidiennes et leurs sources de revenus.</w:t>
            </w:r>
          </w:p>
          <w:p w:rsidR="00104448" w:rsidRPr="00D12F26" w:rsidRDefault="00104448" w:rsidP="00104448">
            <w:pPr>
              <w:jc w:val="both"/>
              <w:rPr>
                <w:rFonts w:ascii="Calibri" w:hAnsi="Calibri" w:cs="Arial"/>
                <w:b/>
                <w:color w:val="222222"/>
                <w:sz w:val="28"/>
                <w:szCs w:val="28"/>
              </w:rPr>
            </w:pPr>
            <w:r w:rsidRPr="00D12F26">
              <w:rPr>
                <w:rFonts w:ascii="Calibri" w:hAnsi="Calibri" w:cs="Arial"/>
                <w:color w:val="222222"/>
              </w:rPr>
              <w:br/>
            </w:r>
            <w:r w:rsidRPr="00D12F26">
              <w:rPr>
                <w:rFonts w:ascii="Calibri" w:hAnsi="Calibri" w:cs="Arial"/>
                <w:b/>
                <w:color w:val="222222"/>
                <w:sz w:val="28"/>
                <w:szCs w:val="28"/>
              </w:rPr>
              <w:t>Résultats</w:t>
            </w:r>
            <w:r w:rsidR="00250528" w:rsidRPr="00D12F26">
              <w:rPr>
                <w:rFonts w:ascii="Calibri" w:hAnsi="Calibri" w:cs="Arial"/>
                <w:b/>
                <w:color w:val="222222"/>
                <w:sz w:val="28"/>
                <w:szCs w:val="28"/>
              </w:rPr>
              <w:t xml:space="preserve"> : </w:t>
            </w:r>
            <w:r w:rsidRPr="00D12F26">
              <w:rPr>
                <w:rFonts w:ascii="Calibri" w:hAnsi="Calibri" w:cs="Arial"/>
                <w:color w:val="222222"/>
              </w:rPr>
              <w:t>L’administration des mé</w:t>
            </w:r>
            <w:r w:rsidR="00340A9B" w:rsidRPr="00D12F26">
              <w:rPr>
                <w:rFonts w:ascii="Calibri" w:hAnsi="Calibri" w:cs="Arial"/>
                <w:color w:val="222222"/>
              </w:rPr>
              <w:t xml:space="preserve">dicaments s’est déroulée entre </w:t>
            </w:r>
            <w:r w:rsidRPr="00D12F26">
              <w:rPr>
                <w:rFonts w:ascii="Calibri" w:hAnsi="Calibri" w:cs="Arial"/>
                <w:color w:val="222222"/>
              </w:rPr>
              <w:t>2 et 6 jours par mois</w:t>
            </w:r>
            <w:r w:rsidR="00340A9B" w:rsidRPr="00D12F26">
              <w:rPr>
                <w:rFonts w:ascii="Calibri" w:hAnsi="Calibri" w:cs="Arial"/>
                <w:color w:val="222222"/>
              </w:rPr>
              <w:t xml:space="preserve">. Les postes de santé ont utilisé entre 4 et 68 ASC et </w:t>
            </w:r>
            <w:r w:rsidRPr="00D12F26">
              <w:rPr>
                <w:rFonts w:ascii="Calibri" w:hAnsi="Calibri" w:cs="Arial"/>
                <w:color w:val="222222"/>
              </w:rPr>
              <w:t xml:space="preserve">chaque </w:t>
            </w:r>
            <w:r w:rsidR="00340A9B" w:rsidRPr="00D12F26">
              <w:rPr>
                <w:rFonts w:ascii="Calibri" w:hAnsi="Calibri" w:cs="Arial"/>
                <w:color w:val="222222"/>
              </w:rPr>
              <w:t xml:space="preserve">ASC </w:t>
            </w:r>
            <w:r w:rsidRPr="00D12F26">
              <w:rPr>
                <w:rFonts w:ascii="Calibri" w:hAnsi="Calibri" w:cs="Arial"/>
                <w:color w:val="222222"/>
              </w:rPr>
              <w:t xml:space="preserve">traitant </w:t>
            </w:r>
            <w:r w:rsidR="00340A9B" w:rsidRPr="00D12F26">
              <w:rPr>
                <w:rFonts w:ascii="Calibri" w:hAnsi="Calibri" w:cs="Arial"/>
                <w:color w:val="222222"/>
              </w:rPr>
              <w:t xml:space="preserve">en </w:t>
            </w:r>
            <w:r w:rsidRPr="00D12F26">
              <w:rPr>
                <w:rFonts w:ascii="Calibri" w:hAnsi="Calibri" w:cs="Arial"/>
                <w:color w:val="222222"/>
              </w:rPr>
              <w:t>moyenne de 99 enfants chaque jour. La couverture mensuelle a été estimée entre 80 % et 90 % des enfants éligibles et a été similaire au niveau de tout</w:t>
            </w:r>
            <w:r w:rsidR="00340A9B" w:rsidRPr="00D12F26">
              <w:rPr>
                <w:rFonts w:ascii="Calibri" w:hAnsi="Calibri" w:cs="Arial"/>
                <w:color w:val="222222"/>
              </w:rPr>
              <w:t xml:space="preserve">es les tranches d’âges et tous </w:t>
            </w:r>
            <w:r w:rsidRPr="00D12F26">
              <w:rPr>
                <w:rFonts w:ascii="Calibri" w:hAnsi="Calibri" w:cs="Arial"/>
                <w:color w:val="222222"/>
              </w:rPr>
              <w:t>les groupes socio-économiques. Le Taux de perte en médicaments est estimé à 9% (Sulfadoxine -Pyriméth</w:t>
            </w:r>
            <w:r w:rsidR="00340A9B" w:rsidRPr="00D12F26">
              <w:rPr>
                <w:rFonts w:ascii="Calibri" w:hAnsi="Calibri" w:cs="Arial"/>
                <w:color w:val="222222"/>
              </w:rPr>
              <w:t>amine) et 13% (Amodiaquine) et</w:t>
            </w:r>
            <w:r w:rsidRPr="00D12F26">
              <w:rPr>
                <w:rFonts w:ascii="Calibri" w:hAnsi="Calibri" w:cs="Arial"/>
                <w:color w:val="222222"/>
              </w:rPr>
              <w:t xml:space="preserve"> l</w:t>
            </w:r>
            <w:r w:rsidR="00340A9B" w:rsidRPr="00D12F26">
              <w:rPr>
                <w:rFonts w:ascii="Calibri" w:hAnsi="Calibri" w:cs="Arial"/>
                <w:color w:val="222222"/>
              </w:rPr>
              <w:t>e</w:t>
            </w:r>
            <w:r w:rsidRPr="00D12F26">
              <w:rPr>
                <w:rFonts w:ascii="Calibri" w:hAnsi="Calibri" w:cs="Arial"/>
                <w:color w:val="222222"/>
              </w:rPr>
              <w:t xml:space="preserve"> taux de refus étaient de 0,6 %. Inclure les enfants âgés de  5-9 ans a doublé le n</w:t>
            </w:r>
            <w:r w:rsidR="00340A9B" w:rsidRPr="00D12F26">
              <w:rPr>
                <w:rFonts w:ascii="Calibri" w:hAnsi="Calibri" w:cs="Arial"/>
                <w:color w:val="222222"/>
              </w:rPr>
              <w:t xml:space="preserve">ombre d'enfants à protéger et a </w:t>
            </w:r>
            <w:r w:rsidRPr="00D12F26">
              <w:rPr>
                <w:rFonts w:ascii="Calibri" w:hAnsi="Calibri" w:cs="Arial"/>
                <w:color w:val="222222"/>
              </w:rPr>
              <w:t xml:space="preserve">seulement augmenté de 13% le nombre de ménages à visiter. </w:t>
            </w:r>
          </w:p>
          <w:p w:rsidR="00D12F26" w:rsidRDefault="00D12F26" w:rsidP="00104448">
            <w:pPr>
              <w:jc w:val="both"/>
              <w:rPr>
                <w:rFonts w:ascii="Calibri" w:hAnsi="Calibri" w:cs="Arial"/>
                <w:b/>
                <w:color w:val="222222"/>
              </w:rPr>
            </w:pPr>
          </w:p>
          <w:p w:rsidR="00104448" w:rsidRPr="00D12F26" w:rsidRDefault="00104448" w:rsidP="00104448">
            <w:pPr>
              <w:jc w:val="both"/>
              <w:rPr>
                <w:rFonts w:ascii="Calibri" w:hAnsi="Calibri" w:cs="Arial"/>
                <w:b/>
                <w:color w:val="222222"/>
              </w:rPr>
            </w:pPr>
            <w:r w:rsidRPr="00D12F26">
              <w:rPr>
                <w:rFonts w:ascii="Calibri" w:hAnsi="Calibri" w:cs="Arial"/>
                <w:b/>
                <w:color w:val="222222"/>
              </w:rPr>
              <w:t>Conclusio</w:t>
            </w:r>
            <w:r w:rsidR="00D12F26">
              <w:rPr>
                <w:rFonts w:ascii="Calibri" w:hAnsi="Calibri" w:cs="Arial"/>
                <w:b/>
                <w:color w:val="222222"/>
              </w:rPr>
              <w:t xml:space="preserve">n : </w:t>
            </w:r>
            <w:r w:rsidRPr="00D12F26">
              <w:rPr>
                <w:rFonts w:ascii="Calibri" w:hAnsi="Calibri" w:cs="Arial"/>
                <w:color w:val="222222"/>
              </w:rPr>
              <w:t>Dans les zones où le fardeau du paludisme reste élevé chez les enfants de 5-9 ans, étendre la CPS chez ces grands enfants est bien faisable et n’augmente pas de manière considérable les coûts et le temps nécessaire pour l’administration de médicaments.</w:t>
            </w:r>
          </w:p>
          <w:p w:rsidR="00104448" w:rsidRPr="00F72B5E" w:rsidRDefault="00104448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  <w:p w:rsidR="00133419" w:rsidRPr="00F72B5E" w:rsidRDefault="00133419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133419" w:rsidRPr="00F72B5E" w:rsidRDefault="00133419" w:rsidP="00133419">
      <w:pPr>
        <w:rPr>
          <w:rFonts w:ascii="Calibri" w:hAnsi="Calibri"/>
        </w:rPr>
      </w:pPr>
    </w:p>
    <w:sectPr w:rsidR="00133419" w:rsidRPr="00F72B5E" w:rsidSect="00761772">
      <w:headerReference w:type="default" r:id="rId8"/>
      <w:footerReference w:type="default" r:id="rId9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28" w:rsidRDefault="00250528" w:rsidP="00133419">
      <w:r>
        <w:separator/>
      </w:r>
    </w:p>
  </w:endnote>
  <w:endnote w:type="continuationSeparator" w:id="0">
    <w:p w:rsidR="00250528" w:rsidRDefault="00250528" w:rsidP="0013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28" w:rsidRDefault="00250528">
    <w:pPr>
      <w:pStyle w:val="Pieddepage"/>
    </w:pPr>
  </w:p>
  <w:p w:rsidR="00250528" w:rsidRDefault="00250528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28" w:rsidRDefault="00250528" w:rsidP="00133419">
      <w:r>
        <w:separator/>
      </w:r>
    </w:p>
  </w:footnote>
  <w:footnote w:type="continuationSeparator" w:id="0">
    <w:p w:rsidR="00250528" w:rsidRDefault="00250528" w:rsidP="0013341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28" w:rsidRDefault="00250528" w:rsidP="00133419">
    <w:pPr>
      <w:pStyle w:val="Titre"/>
      <w:rPr>
        <w:sz w:val="36"/>
      </w:rPr>
    </w:pPr>
    <w:r>
      <w:rPr>
        <w:sz w:val="36"/>
      </w:rPr>
      <w:t>9</w:t>
    </w:r>
    <w:r w:rsidRPr="009543CA">
      <w:rPr>
        <w:sz w:val="36"/>
        <w:vertAlign w:val="superscript"/>
      </w:rPr>
      <w:t>ème</w:t>
    </w:r>
    <w:r>
      <w:rPr>
        <w:sz w:val="36"/>
      </w:rPr>
      <w:t xml:space="preserve"> Congrès International Francophone de la Société de Pathologie Exotique, en partenariat avec la Société Médicale d’Afrique Noire de Langue Française</w:t>
    </w:r>
  </w:p>
  <w:p w:rsidR="00250528" w:rsidRDefault="00250528" w:rsidP="00133419">
    <w:pPr>
      <w:pStyle w:val="Titre"/>
      <w:rPr>
        <w:sz w:val="36"/>
      </w:rPr>
    </w:pPr>
    <w:r>
      <w:rPr>
        <w:sz w:val="36"/>
      </w:rPr>
      <w:t>Dakar, 12-14 novembre 2013</w:t>
    </w:r>
  </w:p>
  <w:p w:rsidR="00250528" w:rsidRPr="00634EF7" w:rsidRDefault="00250528" w:rsidP="00133419">
    <w:pPr>
      <w:pStyle w:val="Sous-titre"/>
      <w:jc w:val="center"/>
      <w:rPr>
        <w:smallCaps/>
        <w:color w:val="800000"/>
        <w:sz w:val="28"/>
      </w:rPr>
    </w:pPr>
    <w:r w:rsidRPr="00634EF7">
      <w:rPr>
        <w:smallCaps/>
        <w:color w:val="800000"/>
        <w:sz w:val="28"/>
      </w:rPr>
      <w:t>Proposition de communication</w:t>
    </w:r>
  </w:p>
  <w:p w:rsidR="00250528" w:rsidRDefault="00250528" w:rsidP="00133419">
    <w:pPr>
      <w:pStyle w:val="En-tte"/>
    </w:pPr>
  </w:p>
  <w:p w:rsidR="00250528" w:rsidRDefault="00250528" w:rsidP="00133419">
    <w:pPr>
      <w:pStyle w:val="En-tte"/>
      <w:rPr>
        <w:rFonts w:ascii="Verdana" w:hAnsi="Verdana"/>
        <w:sz w:val="20"/>
        <w:szCs w:val="20"/>
      </w:rPr>
    </w:pPr>
    <w:r>
      <w:t>Les résumés seront soumis de préférence en ligne sur le site de la conférence.</w:t>
    </w:r>
    <w:r>
      <w:rPr>
        <w:rFonts w:ascii="Verdana" w:hAnsi="Verdana"/>
        <w:sz w:val="20"/>
        <w:szCs w:val="20"/>
      </w:rPr>
      <w:br/>
    </w:r>
    <w:r w:rsidR="00761772"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HYPERLINK "http://spe-smanlf-2013.sciencesconf.org/" \o "Dkr soumission resume" \t "_blank" </w:instrText>
    </w:r>
    <w:r w:rsidR="00761772">
      <w:rPr>
        <w:rFonts w:ascii="Verdana" w:hAnsi="Verdana"/>
        <w:sz w:val="20"/>
        <w:szCs w:val="20"/>
      </w:rPr>
      <w:fldChar w:fldCharType="separate"/>
    </w:r>
    <w:r>
      <w:rPr>
        <w:rStyle w:val="Lienhypertexte"/>
        <w:rFonts w:ascii="Verdana" w:hAnsi="Verdana"/>
        <w:color w:val="0B36A2"/>
        <w:sz w:val="20"/>
        <w:szCs w:val="20"/>
      </w:rPr>
      <w:t>http://spe-smanlf-2013.sciencesconf.org</w:t>
    </w:r>
    <w:r w:rsidR="00761772">
      <w:rPr>
        <w:rFonts w:ascii="Verdana" w:hAnsi="Verdana"/>
        <w:sz w:val="20"/>
        <w:szCs w:val="20"/>
      </w:rPr>
      <w:fldChar w:fldCharType="end"/>
    </w:r>
  </w:p>
  <w:p w:rsidR="00250528" w:rsidRPr="00BB7967" w:rsidRDefault="00250528" w:rsidP="00133419">
    <w:pPr>
      <w:pStyle w:val="En-tte"/>
    </w:pPr>
    <w:r>
      <w:rPr>
        <w:rFonts w:ascii="Verdana" w:hAnsi="Verdana"/>
        <w:sz w:val="20"/>
        <w:szCs w:val="20"/>
      </w:rPr>
      <w:t>Il est nécessaire de s’inscrire sur le site dédié à la conférence (indiquer un identifiant : votre email par exemple et un mot de passe). En cas de perte, ce mot de passe vous sera renvoyé par email.</w:t>
    </w:r>
  </w:p>
  <w:p w:rsidR="00250528" w:rsidRPr="009A235A" w:rsidRDefault="00250528" w:rsidP="00133419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4A9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BF235E"/>
    <w:multiLevelType w:val="hybridMultilevel"/>
    <w:tmpl w:val="0192A0EE"/>
    <w:lvl w:ilvl="0" w:tplc="CDD638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775CF"/>
    <w:multiLevelType w:val="hybridMultilevel"/>
    <w:tmpl w:val="F76A65F4"/>
    <w:lvl w:ilvl="0" w:tplc="84203D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1FE"/>
    <w:multiLevelType w:val="hybridMultilevel"/>
    <w:tmpl w:val="525E408E"/>
    <w:lvl w:ilvl="0" w:tplc="1D327ED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48DA"/>
    <w:rsid w:val="00104448"/>
    <w:rsid w:val="00133419"/>
    <w:rsid w:val="001F2E87"/>
    <w:rsid w:val="00250528"/>
    <w:rsid w:val="00340A9B"/>
    <w:rsid w:val="0055642F"/>
    <w:rsid w:val="0074339F"/>
    <w:rsid w:val="00761772"/>
    <w:rsid w:val="00A348DA"/>
    <w:rsid w:val="00D12F26"/>
  </w:rsids>
  <m:mathPr>
    <m:mathFont m:val="Impact"/>
    <m:brkBin m:val="before"/>
    <m:brkBinSub m:val="--"/>
    <m:smallFrac/>
    <m:dispDef/>
    <m:lMargin m:val="0"/>
    <m:rMargin m:val="0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72"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761772"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rsid w:val="00761772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semiHidden/>
    <w:rsid w:val="00761772"/>
    <w:rPr>
      <w:color w:val="0000FF"/>
      <w:u w:val="single"/>
    </w:rPr>
  </w:style>
  <w:style w:type="paragraph" w:styleId="Corpsdetexte">
    <w:name w:val="Body Text"/>
    <w:basedOn w:val="Normal"/>
    <w:semiHidden/>
    <w:rsid w:val="00761772"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rsid w:val="00761772"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rsid w:val="00761772"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C5A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BB7967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BB796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C5A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BB7967"/>
    <w:pPr>
      <w:jc w:val="center"/>
    </w:pPr>
    <w:rPr>
      <w:b/>
      <w:bCs/>
      <w:sz w:val="32"/>
    </w:rPr>
  </w:style>
  <w:style w:type="paragraph" w:styleId="Sous-titre">
    <w:name w:val="Subtitle"/>
    <w:basedOn w:val="Normal"/>
    <w:qFormat/>
    <w:rsid w:val="00BB7967"/>
    <w:pPr>
      <w:jc w:val="righ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ocpatex@pasteur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617</Words>
  <Characters>3398</Characters>
  <Application>Microsoft Macintosh Word</Application>
  <DocSecurity>0</DocSecurity>
  <Lines>75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XIIèmes Actualités du Pharo</vt:lpstr>
      <vt:lpstr>XIIèmes Actualités du Pharo</vt:lpstr>
    </vt:vector>
  </TitlesOfParts>
  <Company>Service de Santé des Armées</Company>
  <LinksUpToDate>false</LinksUpToDate>
  <CharactersWithSpaces>4324</CharactersWithSpaces>
  <SharedDoc>false</SharedDoc>
  <HLinks>
    <vt:vector size="12" baseType="variant"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mailto:socpatex@pasteur.fr</vt:lpwstr>
      </vt:variant>
      <vt:variant>
        <vt:lpwstr/>
      </vt:variant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http://spe-smanlf-2013.sciencesconf.org/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XIIèmes Actualités du Pharo</dc:title>
  <dc:subject/>
  <dc:creator>Gillet</dc:creator>
  <cp:keywords/>
  <cp:lastModifiedBy>Murielle HAMON</cp:lastModifiedBy>
  <cp:revision>2</cp:revision>
  <dcterms:created xsi:type="dcterms:W3CDTF">2013-09-08T16:46:00Z</dcterms:created>
  <dcterms:modified xsi:type="dcterms:W3CDTF">2013-09-08T16:46:00Z</dcterms:modified>
</cp:coreProperties>
</file>